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3A6007" w:rsidP="0062457C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É</w:t>
            </w:r>
            <w:r w:rsidR="00E41BCA"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talement urbain</w:t>
            </w:r>
            <w:r w:rsidR="008E671A"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 xml:space="preserve"> par rapport au nombre de ménage</w:t>
            </w:r>
            <w:r w:rsidR="00F13318"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s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EE5459" w:rsidP="00C24D93">
            <w:pPr>
              <w:spacing w:before="120" w:after="120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Mesurer</w:t>
            </w:r>
            <w:r w:rsidR="00C24D93">
              <w:rPr>
                <w:color w:val="000000" w:themeColor="text1"/>
              </w:rPr>
              <w:t xml:space="preserve"> l’étalement urbain</w:t>
            </w:r>
            <w:r w:rsidR="008E671A">
              <w:rPr>
                <w:color w:val="000000" w:themeColor="text1"/>
              </w:rPr>
              <w:t xml:space="preserve"> par rapport au nombre de ménage</w:t>
            </w:r>
            <w:r w:rsidR="00F13318">
              <w:rPr>
                <w:color w:val="000000" w:themeColor="text1"/>
              </w:rPr>
              <w:t>s</w:t>
            </w:r>
          </w:p>
        </w:tc>
      </w:tr>
      <w:tr w:rsidR="008E671A" w:rsidRPr="00874974" w:rsidTr="00CA0556">
        <w:tc>
          <w:tcPr>
            <w:tcW w:w="10344" w:type="dxa"/>
            <w:shd w:val="clear" w:color="auto" w:fill="92D050"/>
            <w:vAlign w:val="center"/>
          </w:tcPr>
          <w:p w:rsidR="008E671A" w:rsidRPr="00874974" w:rsidRDefault="008E671A" w:rsidP="00CA0556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>
              <w:rPr>
                <w:b/>
                <w:bCs/>
                <w:color w:val="009900"/>
                <w:sz w:val="28"/>
                <w:szCs w:val="28"/>
              </w:rPr>
              <w:t>UTILISATION</w:t>
            </w:r>
          </w:p>
        </w:tc>
      </w:tr>
      <w:tr w:rsidR="008E671A" w:rsidRPr="00BA0B0A" w:rsidTr="00CA0556">
        <w:tc>
          <w:tcPr>
            <w:tcW w:w="10344" w:type="dxa"/>
            <w:shd w:val="clear" w:color="auto" w:fill="auto"/>
            <w:vAlign w:val="center"/>
          </w:tcPr>
          <w:p w:rsidR="008E671A" w:rsidRPr="00874974" w:rsidRDefault="008E671A" w:rsidP="00CA0556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874974">
              <w:rPr>
                <w:b/>
                <w:color w:val="000000" w:themeColor="text1"/>
              </w:rPr>
              <w:t xml:space="preserve">Exemples de cas </w:t>
            </w:r>
            <w:r w:rsidR="006B2018" w:rsidRPr="00874974">
              <w:rPr>
                <w:b/>
                <w:color w:val="000000" w:themeColor="text1"/>
              </w:rPr>
              <w:t>d</w:t>
            </w:r>
            <w:r w:rsidR="006B2018">
              <w:rPr>
                <w:b/>
                <w:color w:val="000000" w:themeColor="text1"/>
              </w:rPr>
              <w:t>’application</w:t>
            </w:r>
            <w:r w:rsidRPr="00874974">
              <w:rPr>
                <w:b/>
                <w:color w:val="000000" w:themeColor="text1"/>
              </w:rPr>
              <w:t> :</w:t>
            </w:r>
          </w:p>
          <w:p w:rsidR="008E671A" w:rsidRDefault="008E671A" w:rsidP="00CA0556">
            <w:pPr>
              <w:spacing w:before="120" w:after="120"/>
              <w:rPr>
                <w:color w:val="000000" w:themeColor="text1"/>
              </w:rPr>
            </w:pPr>
            <w:r w:rsidRPr="008A0F72">
              <w:t>Pour des élus, mieux comprendre ce qui s’est passé sur un territoire</w:t>
            </w:r>
            <w:r>
              <w:t xml:space="preserve"> entre évolution des espaces urbanisés</w:t>
            </w:r>
            <w:r w:rsidR="00B859D8">
              <w:t>/enveloppe urbaine</w:t>
            </w:r>
            <w:r>
              <w:t xml:space="preserve"> et évolution du nombre de ménage</w:t>
            </w:r>
            <w:r w:rsidR="00F13318">
              <w:t>s</w:t>
            </w:r>
            <w:r>
              <w:t>.</w:t>
            </w:r>
          </w:p>
          <w:p w:rsidR="008E671A" w:rsidRDefault="008E671A" w:rsidP="00CA0556">
            <w:pPr>
              <w:spacing w:before="120" w:after="120"/>
              <w:rPr>
                <w:color w:val="000000" w:themeColor="text1"/>
              </w:rPr>
            </w:pPr>
          </w:p>
          <w:p w:rsidR="008E671A" w:rsidRPr="00874974" w:rsidRDefault="008E671A" w:rsidP="00CA0556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proofErr w:type="gramStart"/>
            <w:r w:rsidRPr="00874974">
              <w:rPr>
                <w:b/>
                <w:color w:val="000000" w:themeColor="text1"/>
              </w:rPr>
              <w:t>Limites</w:t>
            </w:r>
            <w:proofErr w:type="gramEnd"/>
            <w:r w:rsidRPr="00874974">
              <w:rPr>
                <w:b/>
                <w:color w:val="000000" w:themeColor="text1"/>
              </w:rPr>
              <w:t> :</w:t>
            </w:r>
          </w:p>
          <w:p w:rsidR="00EB4802" w:rsidRDefault="00EB4802" w:rsidP="00AF2294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Seuils de saisie de l’OCS GE</w:t>
            </w:r>
          </w:p>
          <w:p w:rsidR="00AF2294" w:rsidRDefault="00AF2294" w:rsidP="00AF2294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données INSEE sont données pour les années 2008, 2013 et 2018 : une interpolation linéaire de nombre de ménages est faite pour obtenir la valeur correspondant aux millésimes de l’OCS GE.</w:t>
            </w:r>
          </w:p>
          <w:p w:rsidR="008E671A" w:rsidRDefault="008E671A" w:rsidP="00CA0556">
            <w:pPr>
              <w:spacing w:before="120" w:after="120"/>
              <w:rPr>
                <w:color w:val="000000" w:themeColor="text1"/>
              </w:rPr>
            </w:pPr>
          </w:p>
          <w:p w:rsidR="008E671A" w:rsidRPr="00874974" w:rsidRDefault="008E671A" w:rsidP="00CA0556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874974">
              <w:rPr>
                <w:b/>
                <w:color w:val="000000" w:themeColor="text1"/>
              </w:rPr>
              <w:t>Indicateurs complémentaires :</w:t>
            </w:r>
          </w:p>
          <w:p w:rsidR="008E671A" w:rsidRDefault="00AF2294" w:rsidP="00CA0556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Indicateur 4</w:t>
            </w:r>
            <w:r w:rsidR="008E671A">
              <w:rPr>
                <w:color w:val="000000" w:themeColor="text1"/>
              </w:rPr>
              <w:t xml:space="preserve"> : </w:t>
            </w:r>
            <w:r>
              <w:rPr>
                <w:color w:val="000000" w:themeColor="text1"/>
              </w:rPr>
              <w:t>sobriété foncière par habitant</w:t>
            </w:r>
          </w:p>
          <w:p w:rsidR="008E671A" w:rsidRPr="00BA0B0A" w:rsidRDefault="008E671A" w:rsidP="00CA0556">
            <w:pPr>
              <w:spacing w:before="120" w:after="120"/>
              <w:rPr>
                <w:color w:val="000000" w:themeColor="text1"/>
              </w:rPr>
            </w:pPr>
          </w:p>
        </w:tc>
      </w:tr>
      <w:tr w:rsidR="0062457C" w:rsidTr="0062457C">
        <w:tc>
          <w:tcPr>
            <w:tcW w:w="10344" w:type="dxa"/>
            <w:shd w:val="clear" w:color="auto" w:fill="92D050"/>
            <w:vAlign w:val="center"/>
          </w:tcPr>
          <w:p w:rsidR="0062457C" w:rsidRDefault="00106B08" w:rsidP="000A7545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POSTES DE L</w:t>
            </w:r>
            <w:r w:rsidR="000A7545">
              <w:rPr>
                <w:b/>
                <w:bCs/>
                <w:color w:val="009900"/>
                <w:sz w:val="28"/>
                <w:szCs w:val="28"/>
              </w:rPr>
              <w:t>A NOMENCLATURE OCS GE CONCERNÉS</w:t>
            </w:r>
          </w:p>
        </w:tc>
      </w:tr>
      <w:tr w:rsidR="0062457C" w:rsidTr="0062457C">
        <w:tc>
          <w:tcPr>
            <w:tcW w:w="10344" w:type="dxa"/>
            <w:vAlign w:val="center"/>
          </w:tcPr>
          <w:p w:rsidR="004C6B74" w:rsidRDefault="004732E4" w:rsidP="0041465E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Identification des </w:t>
            </w:r>
            <w:r w:rsidR="00EE5459">
              <w:rPr>
                <w:b/>
                <w:bCs/>
                <w:color w:val="000000" w:themeColor="text1"/>
              </w:rPr>
              <w:t>polygones</w:t>
            </w:r>
            <w:r w:rsidR="004C6B74">
              <w:rPr>
                <w:b/>
                <w:bCs/>
                <w:color w:val="000000" w:themeColor="text1"/>
              </w:rPr>
              <w:t> :</w:t>
            </w:r>
            <w:r w:rsidR="004C6B74" w:rsidRPr="004C6B74">
              <w:rPr>
                <w:bCs/>
                <w:color w:val="000000" w:themeColor="text1"/>
              </w:rPr>
              <w:t xml:space="preserve"> </w:t>
            </w:r>
          </w:p>
          <w:p w:rsidR="00EE5459" w:rsidRPr="00C24D93" w:rsidRDefault="00C24D93" w:rsidP="00EE5459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Polygones situés dans les espaces urbanisés</w:t>
            </w:r>
            <w:r w:rsidR="00AF2294">
              <w:rPr>
                <w:bCs/>
                <w:color w:val="000000" w:themeColor="text1"/>
              </w:rPr>
              <w:t>/enveloppe urbaine</w:t>
            </w:r>
            <w:r>
              <w:rPr>
                <w:bCs/>
                <w:color w:val="000000" w:themeColor="text1"/>
              </w:rPr>
              <w:t xml:space="preserve"> (cf. </w:t>
            </w:r>
            <w:r w:rsidR="00AF2294">
              <w:rPr>
                <w:bCs/>
                <w:color w:val="000000" w:themeColor="text1"/>
              </w:rPr>
              <w:t>glossaire</w:t>
            </w:r>
            <w:r>
              <w:rPr>
                <w:bCs/>
                <w:color w:val="000000" w:themeColor="text1"/>
              </w:rPr>
              <w:t>)</w:t>
            </w:r>
          </w:p>
          <w:p w:rsidR="0062457C" w:rsidRPr="00BA0B0A" w:rsidRDefault="0062457C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62457C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62457C" w:rsidRDefault="00C24D93" w:rsidP="004732E4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:rsidR="004C6B74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D45A68" w:rsidRPr="004C6B74" w:rsidRDefault="00C24D93" w:rsidP="004732E4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espaces artificialisés</w:t>
            </w:r>
            <w:r w:rsidR="00AF2294">
              <w:rPr>
                <w:color w:val="000000" w:themeColor="text1"/>
              </w:rPr>
              <w:t xml:space="preserve"> non urbanisés</w:t>
            </w:r>
            <w:r>
              <w:rPr>
                <w:color w:val="000000" w:themeColor="text1"/>
              </w:rPr>
              <w:t xml:space="preserve"> (carrières, routes hors espaces urbanisés,…)</w:t>
            </w:r>
          </w:p>
        </w:tc>
      </w:tr>
    </w:tbl>
    <w:p w:rsidR="0041465E" w:rsidRDefault="0041465E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0A7545" w:rsidTr="00CA0556">
        <w:tc>
          <w:tcPr>
            <w:tcW w:w="10344" w:type="dxa"/>
            <w:shd w:val="clear" w:color="auto" w:fill="92D050"/>
            <w:vAlign w:val="center"/>
          </w:tcPr>
          <w:p w:rsidR="000A7545" w:rsidRDefault="000A7545" w:rsidP="00CA0556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lastRenderedPageBreak/>
              <w:t xml:space="preserve">MÉTHODE EMPLOYÉE POUR LE CALCUL </w:t>
            </w:r>
          </w:p>
        </w:tc>
      </w:tr>
      <w:tr w:rsidR="000A7545" w:rsidTr="00CA0556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A861ED" w:rsidRDefault="00A861ED" w:rsidP="00A861ED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Tous les polygones </w:t>
            </w:r>
            <w:r w:rsidR="00C24D93">
              <w:rPr>
                <w:color w:val="000000" w:themeColor="text1"/>
              </w:rPr>
              <w:t>situés dans les espaces urbanisés</w:t>
            </w:r>
            <w:r w:rsidR="007D2A8E">
              <w:rPr>
                <w:color w:val="000000" w:themeColor="text1"/>
              </w:rPr>
              <w:t>/enveloppe urbaine</w:t>
            </w:r>
          </w:p>
          <w:p w:rsidR="00A861ED" w:rsidRPr="00BA0B0A" w:rsidRDefault="00A861ED" w:rsidP="00A861ED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Croisement avec les données INSEE</w:t>
            </w:r>
            <w:r w:rsidR="0068758B">
              <w:rPr>
                <w:color w:val="000000" w:themeColor="text1"/>
              </w:rPr>
              <w:t xml:space="preserve"> </w:t>
            </w:r>
            <w:r w:rsidR="00AB53A1">
              <w:rPr>
                <w:color w:val="000000" w:themeColor="text1"/>
              </w:rPr>
              <w:t>pour obtenir le</w:t>
            </w:r>
            <w:r w:rsidR="008E671A">
              <w:rPr>
                <w:color w:val="000000" w:themeColor="text1"/>
              </w:rPr>
              <w:t xml:space="preserve"> nombre de ménages</w:t>
            </w: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="00A861ED" w:rsidRPr="00BA0B0A">
              <w:rPr>
                <w:color w:val="000000" w:themeColor="text1"/>
              </w:rPr>
              <w:t>pour les millésimes 2010/2011 et 2017/2018</w:t>
            </w:r>
            <w:r w:rsidR="00A861ED">
              <w:rPr>
                <w:color w:val="000000" w:themeColor="text1"/>
              </w:rPr>
              <w:t xml:space="preserve"> </w:t>
            </w:r>
            <w:r w:rsidR="00A861ED" w:rsidRPr="00BA0B0A">
              <w:rPr>
                <w:color w:val="000000" w:themeColor="text1"/>
              </w:rPr>
              <w:t>:</w:t>
            </w:r>
          </w:p>
          <w:p w:rsidR="008E671A" w:rsidRPr="008E671A" w:rsidRDefault="007D2A8E" w:rsidP="007D2A8E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Taux 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accroissement des espaces urbanisés/enveloppe urbaine</m:t>
              </m:r>
              <m:r>
                <w:rPr>
                  <w:rFonts w:ascii="Cambria Math" w:hAnsi="Cambria Math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surf Artif 2017/2018-surf Artif 2010/2011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surf Artif 2010/2011</m:t>
                  </m:r>
                </m:den>
              </m:f>
            </m:oMath>
          </w:p>
          <w:p w:rsidR="008E671A" w:rsidRPr="008E671A" w:rsidRDefault="007D2A8E" w:rsidP="007D2A8E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Taux 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accroissement du nombre de ménages</m:t>
              </m:r>
              <m:r>
                <w:rPr>
                  <w:rFonts w:ascii="Cambria Math" w:hAnsi="Cambria Math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nb ménages 2017/2018-nb ménages 2010/2011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nb ménages 2010/2011</m:t>
                  </m:r>
                </m:den>
              </m:f>
            </m:oMath>
          </w:p>
          <w:p w:rsidR="008E671A" w:rsidRPr="007F1B03" w:rsidRDefault="007D2A8E" w:rsidP="007D2A8E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commentRangeStart w:id="0"/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Taux d’étalement urbain</m:t>
              </m:r>
              <w:commentRangeEnd w:id="0"/>
              <m:r>
                <m:rPr>
                  <m:sty m:val="p"/>
                </m:rPr>
                <w:rPr>
                  <w:rStyle w:val="Marquedecommentaire"/>
                  <w:color w:val="auto"/>
                </w:rPr>
                <w:commentReference w:id="0"/>
              </m:r>
              <m:r>
                <w:rPr>
                  <w:rFonts w:ascii="Cambria Math" w:hAnsi="Cambria Math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 xml:space="preserve">taux 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accroissement des espaces urbanisés/enveloppe urbaine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 xml:space="preserve">taux 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accroissement des ménages</m:t>
                  </m:r>
                </m:den>
              </m:f>
            </m:oMath>
          </w:p>
          <w:p w:rsidR="007F1B03" w:rsidRPr="007F1B03" w:rsidRDefault="007F1B03" w:rsidP="007F1B03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7F1B03">
              <w:rPr>
                <w:color w:val="000000" w:themeColor="text1"/>
              </w:rPr>
              <w:t>Classification selon les catégories suivantes :</w:t>
            </w:r>
          </w:p>
          <w:p w:rsidR="007F1B03" w:rsidRPr="007F1B03" w:rsidRDefault="007F1B03" w:rsidP="007F1B03">
            <w:pPr>
              <w:pStyle w:val="Paragraphedeliste"/>
              <w:numPr>
                <w:ilvl w:val="1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7F1B03">
              <w:rPr>
                <w:color w:val="000000" w:themeColor="text1"/>
              </w:rPr>
              <w:t>extension urbaine &lt; 0 et croissance démographique &lt; 0 → pas d'étalement urbain</w:t>
            </w:r>
          </w:p>
          <w:p w:rsidR="007F1B03" w:rsidRPr="007F1B03" w:rsidRDefault="007F1B03" w:rsidP="007F1B03">
            <w:pPr>
              <w:pStyle w:val="Paragraphedeliste"/>
              <w:numPr>
                <w:ilvl w:val="1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7F1B03">
              <w:rPr>
                <w:color w:val="000000" w:themeColor="text1"/>
              </w:rPr>
              <w:t>extension urbaine &lt; 0 et croissance démographique &gt; 0 → sobriété foncière</w:t>
            </w:r>
          </w:p>
          <w:p w:rsidR="007F1B03" w:rsidRPr="007F1B03" w:rsidRDefault="007F1B03" w:rsidP="007F1B03">
            <w:pPr>
              <w:pStyle w:val="Paragraphedeliste"/>
              <w:numPr>
                <w:ilvl w:val="1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7F1B03">
              <w:rPr>
                <w:color w:val="000000" w:themeColor="text1"/>
              </w:rPr>
              <w:t>extension urbaine &gt; 0 et croissance démographique &lt; 0 → étalement urbain</w:t>
            </w:r>
          </w:p>
          <w:p w:rsidR="007F1B03" w:rsidRPr="007F1B03" w:rsidRDefault="007F1B03" w:rsidP="007F1B03">
            <w:pPr>
              <w:pStyle w:val="Paragraphedeliste"/>
              <w:numPr>
                <w:ilvl w:val="1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7F1B03">
              <w:rPr>
                <w:color w:val="000000" w:themeColor="text1"/>
              </w:rPr>
              <w:t>extension urbaine &gt; 0 et croissance démographique &gt; 0 → on calcule le rapport des deux :</w:t>
            </w:r>
          </w:p>
          <w:p w:rsidR="007F1B03" w:rsidRPr="007F1B03" w:rsidRDefault="007F1B03" w:rsidP="007F1B03">
            <w:pPr>
              <w:pStyle w:val="Paragraphedeliste"/>
              <w:numPr>
                <w:ilvl w:val="2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7F1B03">
              <w:rPr>
                <w:color w:val="000000" w:themeColor="text1"/>
              </w:rPr>
              <w:t xml:space="preserve">si extension urbaine/croissance démographique </w:t>
            </w:r>
            <w:commentRangeStart w:id="1"/>
            <w:r w:rsidRPr="007F1B03">
              <w:rPr>
                <w:color w:val="000000" w:themeColor="text1"/>
              </w:rPr>
              <w:t xml:space="preserve">proche de 1 </w:t>
            </w:r>
            <w:commentRangeEnd w:id="1"/>
            <w:r>
              <w:rPr>
                <w:rStyle w:val="Marquedecommentaire"/>
                <w:color w:val="auto"/>
              </w:rPr>
              <w:commentReference w:id="1"/>
            </w:r>
            <w:r w:rsidRPr="007F1B03">
              <w:rPr>
                <w:color w:val="000000" w:themeColor="text1"/>
              </w:rPr>
              <w:t>: ni étalement urbain ni sobriété foncière</w:t>
            </w:r>
          </w:p>
          <w:p w:rsidR="007F1B03" w:rsidRPr="007F1B03" w:rsidRDefault="007F1B03" w:rsidP="007F1B03">
            <w:pPr>
              <w:pStyle w:val="Paragraphedeliste"/>
              <w:numPr>
                <w:ilvl w:val="2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7F1B03">
              <w:rPr>
                <w:color w:val="000000" w:themeColor="text1"/>
              </w:rPr>
              <w:t>si extension urbaine/croissance démographique très inférieur à 1 : sobriété foncière</w:t>
            </w:r>
          </w:p>
          <w:p w:rsidR="007F1B03" w:rsidRPr="007F1B03" w:rsidRDefault="007F1B03" w:rsidP="007F1B03">
            <w:pPr>
              <w:pStyle w:val="Paragraphedeliste"/>
              <w:numPr>
                <w:ilvl w:val="2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r w:rsidRPr="007F1B03">
              <w:rPr>
                <w:color w:val="000000" w:themeColor="text1"/>
              </w:rPr>
              <w:t>si extension urbaine/croissance démographique très supérieur à 1 : étalement urbain</w:t>
            </w:r>
          </w:p>
        </w:tc>
      </w:tr>
      <w:tr w:rsidR="0062457C" w:rsidTr="00CA0556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4D5191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 localement) :</w:t>
            </w:r>
          </w:p>
          <w:p w:rsidR="00D2345D" w:rsidRDefault="00D2345D" w:rsidP="004C6B74">
            <w:pPr>
              <w:spacing w:before="120" w:after="120" w:line="240" w:lineRule="auto"/>
              <w:ind w:left="40"/>
              <w:rPr>
                <w:i/>
                <w:color w:val="000000" w:themeColor="text1"/>
              </w:rPr>
            </w:pPr>
          </w:p>
          <w:p w:rsidR="00D2345D" w:rsidRDefault="00D2345D" w:rsidP="00D2345D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Exemple de représentation</w:t>
            </w:r>
          </w:p>
          <w:p w:rsidR="00D2345D" w:rsidRDefault="0045365C" w:rsidP="00D2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 w:rsidRPr="00D2345D">
              <w:rPr>
                <w:rFonts w:ascii="Times New Roman" w:hAnsi="Times New Roman" w:cs="Times New Roman"/>
                <w:noProof/>
                <w:sz w:val="24"/>
                <w:szCs w:val="24"/>
                <w:lang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00B4E" wp14:editId="5D2EA80B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2216150</wp:posOffset>
                      </wp:positionV>
                      <wp:extent cx="1943735" cy="1212850"/>
                      <wp:effectExtent l="0" t="0" r="0" b="63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>
                                  <a:alpha val="50196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CE2" w:rsidRDefault="00860CE2" w:rsidP="00D2345D">
                                  <w:pPr>
                                    <w:jc w:val="right"/>
                                  </w:pPr>
                                  <w:r>
                                    <w:t>Sobriété foncière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13.7pt;margin-top:174.5pt;width:153.0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" fillcolor="#92d050" stroked="f">
                      <v:fill opacity="32896f"/>
                      <v:textbox>
                        <w:txbxContent>
                          <w:p w:rsidR="00860CE2" w:rsidRDefault="00860CE2" w:rsidP="00D2345D">
                            <w:pPr>
                              <w:jc w:val="right"/>
                            </w:pPr>
                            <w:r>
                              <w:t>Sobriété foncière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45D">
              <w:rPr>
                <w:rFonts w:ascii="Times New Roman" w:hAnsi="Times New Roman" w:cs="Times New Roman"/>
                <w:noProof/>
                <w:sz w:val="24"/>
                <w:szCs w:val="24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F19FBC" wp14:editId="0D89E52A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989965</wp:posOffset>
                      </wp:positionV>
                      <wp:extent cx="1943735" cy="1212850"/>
                      <wp:effectExtent l="0" t="0" r="0" b="635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alpha val="50196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CE2" w:rsidRDefault="00860CE2" w:rsidP="00D2345D">
                                  <w:pPr>
                                    <w:jc w:val="center"/>
                                  </w:pPr>
                                  <w:r>
                                    <w:t>Etalement urbain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0.1pt;margin-top:77.95pt;width:153.05pt;height: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" fillcolor="#c0504d" stroked="f">
                      <v:fill opacity="32896f"/>
                      <v:textbox>
                        <w:txbxContent>
                          <w:p w:rsidR="00860CE2" w:rsidRDefault="00860CE2" w:rsidP="00D2345D">
                            <w:pPr>
                              <w:jc w:val="center"/>
                            </w:pPr>
                            <w:r>
                              <w:t>Etalement urbain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45D">
              <w:rPr>
                <w:rFonts w:ascii="Times New Roman" w:hAnsi="Times New Roman" w:cs="Times New Roman"/>
                <w:noProof/>
                <w:sz w:val="24"/>
                <w:szCs w:val="24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92504" wp14:editId="0B7E0377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2216150</wp:posOffset>
                      </wp:positionV>
                      <wp:extent cx="1943735" cy="1214755"/>
                      <wp:effectExtent l="0" t="0" r="0" b="444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14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>
                                  <a:alpha val="50196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CE2" w:rsidRDefault="00860CE2" w:rsidP="00D2345D">
                                  <w:r>
                                    <w:t>Pas d’étalement urbain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0.8pt;margin-top:174.5pt;width:153.05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" fillcolor="#f2f2f2" stroked="f">
                      <v:fill opacity="32896f"/>
                      <v:textbox>
                        <w:txbxContent>
                          <w:p w:rsidR="00860CE2" w:rsidRDefault="00860CE2" w:rsidP="00D2345D">
                            <w:r>
                              <w:t>Pas d’étalement urbain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45D">
              <w:rPr>
                <w:noProof/>
                <w:lang w:eastAsia="fr-FR" w:bidi="ar-SA"/>
              </w:rPr>
              <w:drawing>
                <wp:inline distT="0" distB="0" distL="0" distR="0" wp14:anchorId="7C57AD31" wp14:editId="4A9C1D26">
                  <wp:extent cx="5798916" cy="3773347"/>
                  <wp:effectExtent l="0" t="0" r="0" b="0"/>
                  <wp:docPr id="5" name="Graphique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D2345D" w:rsidRDefault="00D2345D" w:rsidP="004C6B74">
            <w:pPr>
              <w:spacing w:before="120" w:after="120" w:line="240" w:lineRule="auto"/>
              <w:ind w:left="40"/>
              <w:rPr>
                <w:i/>
                <w:color w:val="000000" w:themeColor="text1"/>
              </w:rPr>
            </w:pPr>
          </w:p>
          <w:p w:rsidR="00960B9B" w:rsidRDefault="00960B9B" w:rsidP="0096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commentRangeStart w:id="2"/>
            <w:r>
              <w:rPr>
                <w:i/>
                <w:color w:val="000000" w:themeColor="text1"/>
              </w:rPr>
              <w:t>Exemple de résultats sur 20% de la Nièvre (chiffres non définitifs)</w:t>
            </w:r>
            <w:commentRangeEnd w:id="2"/>
            <w:r w:rsidR="00860CE2">
              <w:rPr>
                <w:rStyle w:val="Marquedecommentaire"/>
              </w:rPr>
              <w:commentReference w:id="2"/>
            </w:r>
          </w:p>
          <w:tbl>
            <w:tblPr>
              <w:tblStyle w:val="Tramemoyenne1-Accent3"/>
              <w:tblW w:w="0" w:type="auto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1489"/>
              <w:gridCol w:w="770"/>
              <w:gridCol w:w="770"/>
              <w:gridCol w:w="934"/>
              <w:gridCol w:w="934"/>
              <w:gridCol w:w="1609"/>
              <w:gridCol w:w="1518"/>
              <w:gridCol w:w="1352"/>
            </w:tblGrid>
            <w:tr w:rsidR="00D2345D" w:rsidRPr="005C3B6D" w:rsidTr="00D234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vMerge w:val="restart"/>
                  <w:tcBorders>
                    <w:right w:val="single" w:sz="4" w:space="0" w:color="9BBB59" w:themeColor="accent3"/>
                  </w:tcBorders>
                  <w:noWrap/>
                </w:tcPr>
                <w:p w:rsidR="00D2345D" w:rsidRPr="005C3B6D" w:rsidRDefault="00D2345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Code INSEE</w:t>
                  </w:r>
                </w:p>
              </w:tc>
              <w:tc>
                <w:tcPr>
                  <w:tcW w:w="1489" w:type="dxa"/>
                  <w:vMerge w:val="restart"/>
                  <w:tcBorders>
                    <w:right w:val="single" w:sz="4" w:space="0" w:color="9BBB59" w:themeColor="accent3"/>
                  </w:tcBorders>
                </w:tcPr>
                <w:p w:rsidR="00D2345D" w:rsidRDefault="00D2345D" w:rsidP="005C3B6D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Communes</w:t>
                  </w:r>
                </w:p>
              </w:tc>
              <w:tc>
                <w:tcPr>
                  <w:tcW w:w="1540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</w:tcPr>
                <w:p w:rsidR="00D2345D" w:rsidRPr="005C3B6D" w:rsidRDefault="00D2345D" w:rsidP="005C3B6D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Ménages</w:t>
                  </w:r>
                </w:p>
              </w:tc>
              <w:tc>
                <w:tcPr>
                  <w:tcW w:w="1868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</w:tcPr>
                <w:p w:rsidR="00D2345D" w:rsidRPr="005C3B6D" w:rsidRDefault="00D2345D" w:rsidP="005C3B6D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Surface des espaces urbanisés (en Ha)</w:t>
                  </w:r>
                </w:p>
              </w:tc>
              <w:tc>
                <w:tcPr>
                  <w:tcW w:w="4479" w:type="dxa"/>
                  <w:gridSpan w:val="3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</w:tcPr>
                <w:p w:rsidR="00D2345D" w:rsidRPr="005C3B6D" w:rsidRDefault="00D2345D" w:rsidP="005C3B6D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Taux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vMerge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D2345D" w:rsidRPr="005C3B6D" w:rsidRDefault="00D2345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</w:tcPr>
                <w:p w:rsidR="00D2345D" w:rsidRPr="005C3B6D" w:rsidRDefault="00D2345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D2345D" w:rsidRPr="005C3B6D" w:rsidRDefault="00D2345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D2345D" w:rsidRPr="005C3B6D" w:rsidRDefault="00D2345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D2345D" w:rsidRPr="005C3B6D" w:rsidRDefault="00D2345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2011 </w:t>
                  </w:r>
                </w:p>
              </w:tc>
              <w:tc>
                <w:tcPr>
                  <w:tcW w:w="934" w:type="dxa"/>
                  <w:tcBorders>
                    <w:bottom w:val="single" w:sz="8" w:space="0" w:color="B3CC82" w:themeColor="accent3" w:themeTint="BF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D2345D" w:rsidRPr="005C3B6D" w:rsidRDefault="00D2345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2017 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D2345D" w:rsidRPr="005C3B6D" w:rsidRDefault="00D2345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ccroissement espaces urbanisés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D2345D" w:rsidRPr="005C3B6D" w:rsidRDefault="00D2345D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ccroissement </w:t>
                  </w:r>
                  <w:r w:rsidR="004960C6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ménages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D2345D" w:rsidRPr="005C3B6D" w:rsidRDefault="00D2345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talement urbain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58009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Arbourse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21,12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21,14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0,1%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4,8%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0,020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58013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Arthel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26,22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26,59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1,4%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-4,2%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-0,339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58014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Arzembouy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25,47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25,23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-13,9%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0,066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58018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Authiou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12,37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12,31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-0,4%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-0,052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58027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Beaumont-la-Ferrière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29,30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29,87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#DIV/0!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58042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Bulcy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27,25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27,53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-13,5%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-0,075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58045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La Celle-sur-Nièvre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42,96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43,15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0,4%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#DIV/0!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58051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Challuy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606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625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361,78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365,07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3,1%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0,290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58056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Champvoux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50,75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52,08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2,6%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1,116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58059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La Charité-sur-Loire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2474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2370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431,66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440,92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2,1%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-4,2%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-0,510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58061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Chasnay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30,55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30,70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#DIV/0!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58067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Chaulgnes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592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635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396,46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409,49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3,3%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0,453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58088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Coulanges-lès-Nevers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1660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1704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1534,43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1548,85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2,7%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0,355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58101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Dompierre-sur-Nièvre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42,56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42,79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1,1%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0,472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58112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La Fermeté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262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106,32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96,36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-9,4%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6,1%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-1,535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58117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Fourchambault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2334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2229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455,17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455,38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-4,5%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-0,010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58121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Garchizy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1513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1558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682,67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703,36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1,019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58124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Germigny</w:t>
                  </w:r>
                  <w:proofErr w:type="spellEnd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-sur-Loire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111,72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112,77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0,936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58126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Gimouille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97,06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98,21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1,2%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6,9%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0,172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58127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Giry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49,21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48,84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-0,8%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-0,9%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0,811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58131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Guérigny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1144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1145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274,35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278,73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1,6%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0,1%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18,263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58143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Limon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56,54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54,47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-3,7%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4,5%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-0,806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58147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Lurcy</w:t>
                  </w:r>
                  <w:proofErr w:type="spellEnd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le-Bourg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78,61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79,50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1,1%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-2,9%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-0,395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58155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La Marche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257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263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87,61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87,64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0,012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58160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Marzy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1460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1567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1187,33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1204,38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1,4%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0,196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58164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Mesves</w:t>
                  </w:r>
                  <w:proofErr w:type="spellEnd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-sur-Loire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305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319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302,88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303,56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0,2%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4,6%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0,049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58174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Montenoison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35,21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35,42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0,6%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-4,8%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-0,128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58176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Montigny-aux-</w:t>
                  </w: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Amognes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97,45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100,89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9,7%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0,364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58186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Murlin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25,55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24,90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-2,5%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-19,6%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0,130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58188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Nannay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29,92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0,3%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23,6%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0,011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58189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Narcy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108,09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107,86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-0,2%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-0,096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58194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Nevers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18462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17937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2172,63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2189,23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0,8%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-2,8%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-0,269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58196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Nolay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96,98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98,41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-2,4%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-0,627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58203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Oulon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19,32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19,82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-11,9%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-0,213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58204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Vaux d'</w:t>
                  </w: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Amognes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83,96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86,20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2,7%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5,4%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0,494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58207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Parigny</w:t>
                  </w:r>
                  <w:proofErr w:type="spellEnd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-les-Vaux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411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417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369,25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407,39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10,3%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1,5%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7,075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58212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Poiseux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68,47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70,24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2,6%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2,7%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0,944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58214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Pougues-les-Eaux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1047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250,26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254,84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1,8%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0,262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58218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Prémery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947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268,18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265,78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-3,8%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0,238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58220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Raveau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327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123,88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130,69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0,892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58231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Saint-Aubin-les-Forges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68,41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70,87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3,6%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2,5%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1,435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58232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Saint-Benin-d'Azy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541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569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153,82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158,91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3,3%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0,639</w:t>
                  </w:r>
                </w:p>
              </w:tc>
            </w:tr>
            <w:tr w:rsidR="00860CE2" w:rsidRPr="005C3B6D" w:rsidTr="00860CE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D2345D" w:rsidRDefault="00860CE2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58233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D2345D" w:rsidRDefault="00860CE2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Saint-Benin-des-Bois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D2345D" w:rsidRDefault="00860CE2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D2345D" w:rsidRDefault="00860CE2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D2345D" w:rsidRDefault="00860CE2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54,52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D2345D" w:rsidRDefault="00860CE2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55,29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3,3%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1,639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58234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Saint-Bonnot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25,22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25,23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0,1%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13,2%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0,005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58238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Saint-Éloi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936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1729,53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1762,35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9,3%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0,203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58239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Saint-Firmin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33,74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33,74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4,6%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0,000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58247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Saint-Jean-aux-</w:t>
                  </w: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Amognes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84,26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87,16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3,4%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5,6%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0,618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58254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Saint-Martin-</w:t>
                  </w: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d'Heuille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86,54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89,81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3,8%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5,1%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0,744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58269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Saint-Sulpice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78,93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79,80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1,1%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-3,0%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-0,362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58273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Sauvigny</w:t>
                  </w:r>
                  <w:proofErr w:type="spellEnd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-les-Bois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209,64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215,71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2,249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58278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Sermoise</w:t>
                  </w:r>
                  <w:proofErr w:type="spellEnd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-sur-Loire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646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645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335,90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342,09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1,8%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-0,2%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-11,908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58279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Sichamps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42,19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5,3%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12,7%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0,421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58298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Tronsanges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73,69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74,39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8,2%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0,116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58300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Urzy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724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738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364,89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368,29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1,9%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0,482</w:t>
                  </w:r>
                </w:p>
              </w:tc>
            </w:tr>
            <w:tr w:rsidR="00D2345D" w:rsidRPr="005C3B6D" w:rsidTr="00D234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58302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Varennes-lès-</w:t>
                  </w:r>
                  <w:proofErr w:type="spellStart"/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Narcy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354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368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159,86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164,64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3,0%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0,756</w:t>
                  </w:r>
                </w:p>
              </w:tc>
            </w:tr>
            <w:tr w:rsidR="00D2345D" w:rsidRPr="005C3B6D" w:rsidTr="00D23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58303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Varennes-Vauzelles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4316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4358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2219,24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2252,65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D2345D" w:rsidRPr="00D2345D" w:rsidRDefault="00D2345D" w:rsidP="00D2345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2345D">
                    <w:rPr>
                      <w:rFonts w:ascii="Calibri" w:hAnsi="Calibri" w:cs="Calibri"/>
                      <w:sz w:val="18"/>
                      <w:szCs w:val="18"/>
                    </w:rPr>
                    <w:t>1,547</w:t>
                  </w:r>
                </w:p>
              </w:tc>
            </w:tr>
          </w:tbl>
          <w:p w:rsidR="00860CE2" w:rsidRDefault="00860CE2" w:rsidP="00245E6D">
            <w:pPr>
              <w:spacing w:before="120" w:after="120" w:line="240" w:lineRule="auto"/>
              <w:rPr>
                <w:color w:val="000000" w:themeColor="text1"/>
              </w:rPr>
            </w:pPr>
            <w:r w:rsidRPr="00860CE2">
              <w:rPr>
                <w:color w:val="000000" w:themeColor="text1"/>
              </w:rPr>
              <w:lastRenderedPageBreak/>
              <w:t xml:space="preserve">Par catégorie : </w:t>
            </w:r>
          </w:p>
          <w:p w:rsidR="0041465E" w:rsidRDefault="00860CE2" w:rsidP="00860CE2">
            <w:pPr>
              <w:pStyle w:val="Titre5"/>
            </w:pPr>
            <w:r w:rsidRPr="00860CE2">
              <w:t>Sobriété foncière</w:t>
            </w:r>
          </w:p>
          <w:tbl>
            <w:tblPr>
              <w:tblStyle w:val="Tramemoyenne1-Accent3"/>
              <w:tblW w:w="0" w:type="auto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1489"/>
              <w:gridCol w:w="770"/>
              <w:gridCol w:w="770"/>
              <w:gridCol w:w="934"/>
              <w:gridCol w:w="934"/>
              <w:gridCol w:w="1609"/>
              <w:gridCol w:w="1518"/>
              <w:gridCol w:w="1352"/>
            </w:tblGrid>
            <w:tr w:rsidR="00860CE2" w:rsidRPr="005C3B6D" w:rsidTr="00860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vMerge w:val="restart"/>
                  <w:tcBorders>
                    <w:right w:val="single" w:sz="4" w:space="0" w:color="9BBB59" w:themeColor="accent3"/>
                  </w:tcBorders>
                  <w:noWrap/>
                </w:tcPr>
                <w:p w:rsidR="00860CE2" w:rsidRPr="005C3B6D" w:rsidRDefault="00860CE2" w:rsidP="00860C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Code INSEE</w:t>
                  </w:r>
                </w:p>
              </w:tc>
              <w:tc>
                <w:tcPr>
                  <w:tcW w:w="1489" w:type="dxa"/>
                  <w:vMerge w:val="restart"/>
                  <w:tcBorders>
                    <w:right w:val="single" w:sz="4" w:space="0" w:color="9BBB59" w:themeColor="accent3"/>
                  </w:tcBorders>
                </w:tcPr>
                <w:p w:rsidR="00860CE2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Communes</w:t>
                  </w:r>
                </w:p>
              </w:tc>
              <w:tc>
                <w:tcPr>
                  <w:tcW w:w="1540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</w:tcPr>
                <w:p w:rsidR="00860CE2" w:rsidRPr="005C3B6D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Ménages</w:t>
                  </w:r>
                </w:p>
              </w:tc>
              <w:tc>
                <w:tcPr>
                  <w:tcW w:w="1868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</w:tcPr>
                <w:p w:rsidR="00860CE2" w:rsidRPr="005C3B6D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Surface des espaces urbanisés (en Ha)</w:t>
                  </w:r>
                </w:p>
              </w:tc>
              <w:tc>
                <w:tcPr>
                  <w:tcW w:w="4479" w:type="dxa"/>
                  <w:gridSpan w:val="3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</w:tcPr>
                <w:p w:rsidR="00860CE2" w:rsidRPr="005C3B6D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Taux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vMerge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2011 </w:t>
                  </w:r>
                </w:p>
              </w:tc>
              <w:tc>
                <w:tcPr>
                  <w:tcW w:w="934" w:type="dxa"/>
                  <w:tcBorders>
                    <w:bottom w:val="single" w:sz="8" w:space="0" w:color="B3CC82" w:themeColor="accent3" w:themeTint="BF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2017 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ccroissement espaces urbanisés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="004960C6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ccroissement ménages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talement urbain</w:t>
                  </w:r>
                </w:p>
              </w:tc>
            </w:tr>
            <w:tr w:rsidR="00860CE2" w:rsidRPr="005C3B6D" w:rsidTr="00860CE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58278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Sermoise</w:t>
                  </w:r>
                  <w:proofErr w:type="spellEnd"/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-sur-Loire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646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645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335,90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342,09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1,8%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-0,2%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-11,908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58196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Nolay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96,98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98,41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-2,4%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-0,627</w:t>
                  </w:r>
                </w:p>
              </w:tc>
            </w:tr>
            <w:tr w:rsidR="00860CE2" w:rsidRPr="005C3B6D" w:rsidTr="00860CE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58059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La Charité-sur-Loire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2474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2370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431,66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440,92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2,1%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-4,2%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-0,510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58147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Lurcy</w:t>
                  </w:r>
                  <w:proofErr w:type="spellEnd"/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</w:t>
                  </w:r>
                  <w:proofErr w:type="spellStart"/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le-Bourg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78,61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79,50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1,1%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-2,9%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-0,395</w:t>
                  </w:r>
                </w:p>
              </w:tc>
            </w:tr>
            <w:tr w:rsidR="00860CE2" w:rsidRPr="005C3B6D" w:rsidTr="00860CE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58269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Saint-Sulpice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78,93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79,80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1,1%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-3,0%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-0,362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58013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Arthel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26,22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26,59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1,4%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-4,2%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-0,339</w:t>
                  </w:r>
                </w:p>
              </w:tc>
            </w:tr>
            <w:tr w:rsidR="00860CE2" w:rsidRPr="005C3B6D" w:rsidTr="00860CE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58194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Nevers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18462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17937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2172,63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2189,23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0,8%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-2,8%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-0,269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58203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Oulon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19,32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19,82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-11,9%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-0,213</w:t>
                  </w:r>
                </w:p>
              </w:tc>
            </w:tr>
            <w:tr w:rsidR="00860CE2" w:rsidRPr="005C3B6D" w:rsidTr="00860CE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58174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Montenoison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35,21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35,42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0,6%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-4,8%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-0,128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58042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Bulcy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27,25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27,53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-13,5%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-0,075</w:t>
                  </w:r>
                </w:p>
              </w:tc>
            </w:tr>
            <w:tr w:rsidR="00860CE2" w:rsidRPr="005C3B6D" w:rsidTr="00860CE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58117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Fourchambault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2334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2229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455,17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455,38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-4,5%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-0,010</w:t>
                  </w:r>
                </w:p>
              </w:tc>
            </w:tr>
          </w:tbl>
          <w:p w:rsidR="00860CE2" w:rsidRDefault="00860CE2" w:rsidP="00245E6D">
            <w:pPr>
              <w:spacing w:before="120" w:after="120" w:line="240" w:lineRule="auto"/>
              <w:rPr>
                <w:color w:val="000000" w:themeColor="text1"/>
              </w:rPr>
            </w:pPr>
          </w:p>
          <w:p w:rsidR="00860CE2" w:rsidRDefault="00860CE2" w:rsidP="00860CE2">
            <w:pPr>
              <w:pStyle w:val="Titre5"/>
            </w:pPr>
            <w:r>
              <w:t>Pas d’étalement</w:t>
            </w:r>
          </w:p>
          <w:tbl>
            <w:tblPr>
              <w:tblStyle w:val="Tramemoyenne1-Accent3"/>
              <w:tblW w:w="0" w:type="auto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1489"/>
              <w:gridCol w:w="770"/>
              <w:gridCol w:w="770"/>
              <w:gridCol w:w="934"/>
              <w:gridCol w:w="934"/>
              <w:gridCol w:w="1609"/>
              <w:gridCol w:w="1518"/>
              <w:gridCol w:w="1352"/>
            </w:tblGrid>
            <w:tr w:rsidR="00860CE2" w:rsidRPr="005C3B6D" w:rsidTr="00860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vMerge w:val="restart"/>
                  <w:tcBorders>
                    <w:right w:val="single" w:sz="4" w:space="0" w:color="9BBB59" w:themeColor="accent3"/>
                  </w:tcBorders>
                  <w:noWrap/>
                </w:tcPr>
                <w:p w:rsidR="00860CE2" w:rsidRPr="005C3B6D" w:rsidRDefault="00860CE2" w:rsidP="00860C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Code INSEE</w:t>
                  </w:r>
                </w:p>
              </w:tc>
              <w:tc>
                <w:tcPr>
                  <w:tcW w:w="1489" w:type="dxa"/>
                  <w:vMerge w:val="restart"/>
                  <w:tcBorders>
                    <w:right w:val="single" w:sz="4" w:space="0" w:color="9BBB59" w:themeColor="accent3"/>
                  </w:tcBorders>
                </w:tcPr>
                <w:p w:rsidR="00860CE2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Communes</w:t>
                  </w:r>
                </w:p>
              </w:tc>
              <w:tc>
                <w:tcPr>
                  <w:tcW w:w="1540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</w:tcPr>
                <w:p w:rsidR="00860CE2" w:rsidRPr="005C3B6D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Ménages</w:t>
                  </w:r>
                </w:p>
              </w:tc>
              <w:tc>
                <w:tcPr>
                  <w:tcW w:w="1868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</w:tcPr>
                <w:p w:rsidR="00860CE2" w:rsidRPr="005C3B6D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Surface des espaces urbanisés (en Ha)</w:t>
                  </w:r>
                </w:p>
              </w:tc>
              <w:tc>
                <w:tcPr>
                  <w:tcW w:w="4479" w:type="dxa"/>
                  <w:gridSpan w:val="3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</w:tcPr>
                <w:p w:rsidR="00860CE2" w:rsidRPr="005C3B6D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Taux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vMerge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2011 </w:t>
                  </w:r>
                </w:p>
              </w:tc>
              <w:tc>
                <w:tcPr>
                  <w:tcW w:w="934" w:type="dxa"/>
                  <w:tcBorders>
                    <w:bottom w:val="single" w:sz="8" w:space="0" w:color="B3CC82" w:themeColor="accent3" w:themeTint="BF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2017 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ccroissement espaces urbanisés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="004960C6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ccroissement ménages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talement urbain</w:t>
                  </w:r>
                </w:p>
              </w:tc>
            </w:tr>
            <w:tr w:rsidR="00860CE2" w:rsidRPr="005C3B6D" w:rsidTr="00860CE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58014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Arzembouy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25,47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25,23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-13,9%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0,066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58186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Murlin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25,55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24,90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-2,5%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-19,6%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0,130</w:t>
                  </w:r>
                </w:p>
              </w:tc>
            </w:tr>
            <w:tr w:rsidR="00860CE2" w:rsidRPr="005C3B6D" w:rsidTr="00860CE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58218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Prémery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984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947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268,18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265,78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-3,8%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0,238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58127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Giry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49,21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48,84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-0,8%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-0,9%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860CE2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0,811</w:t>
                  </w:r>
                </w:p>
              </w:tc>
            </w:tr>
          </w:tbl>
          <w:p w:rsidR="00860CE2" w:rsidRDefault="00860CE2" w:rsidP="00245E6D">
            <w:pPr>
              <w:spacing w:before="120" w:after="120" w:line="240" w:lineRule="auto"/>
              <w:rPr>
                <w:color w:val="000000" w:themeColor="text1"/>
              </w:rPr>
            </w:pPr>
          </w:p>
          <w:p w:rsidR="00860CE2" w:rsidRDefault="00860CE2" w:rsidP="00860CE2">
            <w:pPr>
              <w:pStyle w:val="Titre5"/>
              <w:rPr>
                <w:color w:val="000000" w:themeColor="text1"/>
              </w:rPr>
            </w:pPr>
            <w:r>
              <w:t>Etalement urbain</w:t>
            </w:r>
          </w:p>
          <w:tbl>
            <w:tblPr>
              <w:tblStyle w:val="Tramemoyenne1-Accent3"/>
              <w:tblW w:w="0" w:type="auto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1489"/>
              <w:gridCol w:w="770"/>
              <w:gridCol w:w="770"/>
              <w:gridCol w:w="934"/>
              <w:gridCol w:w="934"/>
              <w:gridCol w:w="1609"/>
              <w:gridCol w:w="1518"/>
              <w:gridCol w:w="1352"/>
            </w:tblGrid>
            <w:tr w:rsidR="00860CE2" w:rsidRPr="005C3B6D" w:rsidTr="00860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vMerge w:val="restart"/>
                  <w:tcBorders>
                    <w:right w:val="single" w:sz="4" w:space="0" w:color="9BBB59" w:themeColor="accent3"/>
                  </w:tcBorders>
                  <w:noWrap/>
                </w:tcPr>
                <w:p w:rsidR="00860CE2" w:rsidRPr="005C3B6D" w:rsidRDefault="00860CE2" w:rsidP="00860C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Code INSEE</w:t>
                  </w:r>
                </w:p>
              </w:tc>
              <w:tc>
                <w:tcPr>
                  <w:tcW w:w="1489" w:type="dxa"/>
                  <w:vMerge w:val="restart"/>
                  <w:tcBorders>
                    <w:right w:val="single" w:sz="4" w:space="0" w:color="9BBB59" w:themeColor="accent3"/>
                  </w:tcBorders>
                </w:tcPr>
                <w:p w:rsidR="00860CE2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Communes</w:t>
                  </w:r>
                </w:p>
              </w:tc>
              <w:tc>
                <w:tcPr>
                  <w:tcW w:w="1540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</w:tcPr>
                <w:p w:rsidR="00860CE2" w:rsidRPr="005C3B6D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Ménages</w:t>
                  </w:r>
                </w:p>
              </w:tc>
              <w:tc>
                <w:tcPr>
                  <w:tcW w:w="1868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</w:tcPr>
                <w:p w:rsidR="00860CE2" w:rsidRPr="005C3B6D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Surface des espaces urbanisés (en Ha)</w:t>
                  </w:r>
                </w:p>
              </w:tc>
              <w:tc>
                <w:tcPr>
                  <w:tcW w:w="4479" w:type="dxa"/>
                  <w:gridSpan w:val="3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</w:tcPr>
                <w:p w:rsidR="00860CE2" w:rsidRPr="005C3B6D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Taux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vMerge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2011 </w:t>
                  </w:r>
                </w:p>
              </w:tc>
              <w:tc>
                <w:tcPr>
                  <w:tcW w:w="934" w:type="dxa"/>
                  <w:tcBorders>
                    <w:bottom w:val="single" w:sz="8" w:space="0" w:color="B3CC82" w:themeColor="accent3" w:themeTint="BF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2017 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ccroissement espaces urbanisés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ccroissement </w:t>
                  </w:r>
                  <w:r w:rsidR="004960C6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ménages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talement urbain</w:t>
                  </w:r>
                </w:p>
              </w:tc>
            </w:tr>
            <w:tr w:rsidR="00860CE2" w:rsidRPr="005C3B6D" w:rsidTr="00860CE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58112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La Fermeté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262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106,32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96,36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-9,4%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6,1%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-1,535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58143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Limon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56,54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54,47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-3,7%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4,5%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-0,806</w:t>
                  </w:r>
                </w:p>
              </w:tc>
            </w:tr>
            <w:tr w:rsidR="00860CE2" w:rsidRPr="005C3B6D" w:rsidTr="00860CE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58189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Narcy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108,09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107,86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-0,2%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-0,096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860CE2" w:rsidRDefault="00860CE2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60CE2">
                    <w:rPr>
                      <w:rFonts w:ascii="Calibri" w:hAnsi="Calibri" w:cs="Calibri"/>
                      <w:sz w:val="18"/>
                      <w:szCs w:val="18"/>
                    </w:rPr>
                    <w:t>58018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Authiou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12,37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12,31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-0,4%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8,3%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860CE2" w:rsidRPr="004960C6" w:rsidRDefault="00860CE2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-0,052</w:t>
                  </w:r>
                </w:p>
              </w:tc>
            </w:tr>
          </w:tbl>
          <w:p w:rsidR="00860CE2" w:rsidRDefault="00860CE2" w:rsidP="00245E6D">
            <w:pPr>
              <w:spacing w:before="120" w:after="120" w:line="240" w:lineRule="auto"/>
              <w:rPr>
                <w:color w:val="000000" w:themeColor="text1"/>
              </w:rPr>
            </w:pPr>
          </w:p>
          <w:p w:rsidR="00860CE2" w:rsidRDefault="004960C6" w:rsidP="004960C6">
            <w:pPr>
              <w:pStyle w:val="Titre5"/>
              <w:rPr>
                <w:color w:val="000000" w:themeColor="text1"/>
              </w:rPr>
            </w:pPr>
            <w:r>
              <w:t>Taux d’accroissement des espaces urbanisés et du nombre de ménages positifs : aide pour déterminer la notion de « proche de 1 » évoquée dans la partie « méthode employée pour le calcul »</w:t>
            </w:r>
          </w:p>
          <w:tbl>
            <w:tblPr>
              <w:tblStyle w:val="Tramemoyenne1-Accent3"/>
              <w:tblW w:w="0" w:type="auto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1489"/>
              <w:gridCol w:w="770"/>
              <w:gridCol w:w="770"/>
              <w:gridCol w:w="934"/>
              <w:gridCol w:w="934"/>
              <w:gridCol w:w="1609"/>
              <w:gridCol w:w="1518"/>
              <w:gridCol w:w="1352"/>
            </w:tblGrid>
            <w:tr w:rsidR="00860CE2" w:rsidRPr="005C3B6D" w:rsidTr="00860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vMerge w:val="restart"/>
                  <w:tcBorders>
                    <w:right w:val="single" w:sz="4" w:space="0" w:color="9BBB59" w:themeColor="accent3"/>
                  </w:tcBorders>
                  <w:noWrap/>
                </w:tcPr>
                <w:p w:rsidR="00860CE2" w:rsidRPr="005C3B6D" w:rsidRDefault="00860CE2" w:rsidP="00860C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Code INSEE</w:t>
                  </w:r>
                </w:p>
              </w:tc>
              <w:tc>
                <w:tcPr>
                  <w:tcW w:w="1489" w:type="dxa"/>
                  <w:vMerge w:val="restart"/>
                  <w:tcBorders>
                    <w:right w:val="single" w:sz="4" w:space="0" w:color="9BBB59" w:themeColor="accent3"/>
                  </w:tcBorders>
                </w:tcPr>
                <w:p w:rsidR="00860CE2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Communes</w:t>
                  </w:r>
                </w:p>
              </w:tc>
              <w:tc>
                <w:tcPr>
                  <w:tcW w:w="1540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</w:tcPr>
                <w:p w:rsidR="00860CE2" w:rsidRPr="005C3B6D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Ménages</w:t>
                  </w:r>
                </w:p>
              </w:tc>
              <w:tc>
                <w:tcPr>
                  <w:tcW w:w="1868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</w:tcPr>
                <w:p w:rsidR="00860CE2" w:rsidRPr="005C3B6D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Surface des espaces urbanisés (en Ha)</w:t>
                  </w:r>
                </w:p>
              </w:tc>
              <w:tc>
                <w:tcPr>
                  <w:tcW w:w="4479" w:type="dxa"/>
                  <w:gridSpan w:val="3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</w:tcPr>
                <w:p w:rsidR="00860CE2" w:rsidRPr="005C3B6D" w:rsidRDefault="00860CE2" w:rsidP="00860CE2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Taux</w:t>
                  </w:r>
                </w:p>
              </w:tc>
            </w:tr>
            <w:tr w:rsidR="00860CE2" w:rsidRPr="005C3B6D" w:rsidTr="00860C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vMerge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2011 </w:t>
                  </w:r>
                </w:p>
              </w:tc>
              <w:tc>
                <w:tcPr>
                  <w:tcW w:w="934" w:type="dxa"/>
                  <w:tcBorders>
                    <w:bottom w:val="single" w:sz="8" w:space="0" w:color="B3CC82" w:themeColor="accent3" w:themeTint="BF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2017 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ccroissement espaces urbanisés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ccroissement </w:t>
                  </w:r>
                  <w:r w:rsidR="004960C6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ménages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860CE2" w:rsidRPr="005C3B6D" w:rsidRDefault="00860CE2" w:rsidP="00860C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talement urbain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58239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Saint-Firmin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33,74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33,74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4,6%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58234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Saint-Bonnot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25,22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25,23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0,1%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13,2%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0,005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58188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Nannay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29,92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0,3%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23,6%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0,011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58155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La Marche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257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263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87,61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87,64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0,012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58009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Arbourse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21,12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21,14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0,1%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4,8%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0,020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58164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Mesves</w:t>
                  </w:r>
                  <w:proofErr w:type="spellEnd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-sur-Loire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305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319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302,88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303,56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0,2%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4,6%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0,049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58298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Tronsanges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73,69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74,39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8,2%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0,116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58126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Gimouille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97,06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98,21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1,2%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6,9%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0,172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58160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Marzy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1460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1567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1187,33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1204,38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1,4%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7,3%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0,196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58238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Saint-Éloi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936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1729,53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1762,35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9,3%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0,203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58214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Pougues-les-Eaux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1047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250,26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254,84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1,8%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7,0%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0,262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58051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Challuy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606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625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361,78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365,07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3,1%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0,290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58088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Coulanges-lès-Nevers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1660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1704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1534,43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1548,85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2,7%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0,355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58176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Montigny-aux-</w:t>
                  </w: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Amognes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97,45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100,89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9,7%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0,364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58279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Sichamps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42,19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5,3%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12,7%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0,421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58067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Chaulgnes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592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635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396,46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409,49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3,3%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7,3%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0,453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58101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Dompierre-sur-Nièvre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42,56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42,79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1,1%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0,472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58300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Urzy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724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738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364,89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368,29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1,9%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0,482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58204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Vaux d'</w:t>
                  </w: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Amognes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83,96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86,20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2,7%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5,4%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0,494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58247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Saint-Jean-aux-</w:t>
                  </w: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Amognes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84,26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87,16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3,4%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5,6%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0,618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58232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Saint-Benin-d'Azy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541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569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153,82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158,91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3,3%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0,639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58254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Saint-Martin-</w:t>
                  </w: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d'Heuille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248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86,54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89,81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3,8%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5,1%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0,744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58302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Varennes-lès-</w:t>
                  </w: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Narcy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354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368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159,86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164,64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0,756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58220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Raveau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327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123,88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130,69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6,2%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0,892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58124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Germigny</w:t>
                  </w:r>
                  <w:proofErr w:type="spellEnd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-sur-Loire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111,72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112,77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0,936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58212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Poiseux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68,47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70,24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2,6%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2,7%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0,944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58121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Garchizy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1513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1558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682,67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703,36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1,019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58056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Champvoux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50,75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52,08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2,6%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1,116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58231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Saint-Aubin-les-Forges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68,41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70,87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3,6%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2,5%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1,435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58303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Varennes-Vauzelles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4316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4358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2219,24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2252,65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1,547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58233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Saint-Benin-des-Bois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54,52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55,29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3,3%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5,2%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1,639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58273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Sauvigny</w:t>
                  </w:r>
                  <w:proofErr w:type="spellEnd"/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-les-Bois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209,64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215,71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2,9%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1,3%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2,249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58207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Parigny</w:t>
                  </w:r>
                  <w:proofErr w:type="spellEnd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-les-Vaux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411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417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369,25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407,39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10,3%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1,5%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7,075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58131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Guérigny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1144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1145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274,35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278,73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1,6%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0,1%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18,263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58027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Beaumont-la-Ferrière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29,30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29,87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2,0%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#DIV/0!</w:t>
                  </w:r>
                </w:p>
              </w:tc>
            </w:tr>
            <w:tr w:rsidR="004960C6" w:rsidRPr="005C3B6D" w:rsidTr="004960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58045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La Celle-sur-Nièvre</w:t>
                  </w:r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42,96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43,15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0,4%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#DIV/0!</w:t>
                  </w:r>
                </w:p>
              </w:tc>
            </w:tr>
            <w:tr w:rsidR="004960C6" w:rsidRPr="005C3B6D" w:rsidTr="004960C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3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sz w:val="18"/>
                      <w:szCs w:val="18"/>
                    </w:rPr>
                    <w:t>58061</w:t>
                  </w:r>
                </w:p>
              </w:tc>
              <w:tc>
                <w:tcPr>
                  <w:tcW w:w="1489" w:type="dxa"/>
                  <w:tcBorders>
                    <w:right w:val="single" w:sz="4" w:space="0" w:color="9BBB59" w:themeColor="accent3"/>
                  </w:tcBorders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spellStart"/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Chasnay</w:t>
                  </w:r>
                  <w:proofErr w:type="spellEnd"/>
                </w:p>
              </w:tc>
              <w:tc>
                <w:tcPr>
                  <w:tcW w:w="770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934" w:type="dxa"/>
                  <w:tcBorders>
                    <w:lef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30,55</w:t>
                  </w:r>
                </w:p>
              </w:tc>
              <w:tc>
                <w:tcPr>
                  <w:tcW w:w="934" w:type="dxa"/>
                  <w:tcBorders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30,70</w:t>
                  </w:r>
                </w:p>
              </w:tc>
              <w:tc>
                <w:tcPr>
                  <w:tcW w:w="1609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0,5%</w:t>
                  </w:r>
                </w:p>
              </w:tc>
              <w:tc>
                <w:tcPr>
                  <w:tcW w:w="1518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352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bottom"/>
                </w:tcPr>
                <w:p w:rsidR="004960C6" w:rsidRPr="004960C6" w:rsidRDefault="004960C6" w:rsidP="004960C6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4960C6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#DIV/0!</w:t>
                  </w:r>
                </w:p>
              </w:tc>
            </w:tr>
          </w:tbl>
          <w:p w:rsidR="00860CE2" w:rsidRPr="00860CE2" w:rsidRDefault="00860CE2" w:rsidP="00245E6D">
            <w:pPr>
              <w:spacing w:before="120" w:after="120" w:line="240" w:lineRule="auto"/>
              <w:rPr>
                <w:color w:val="000000" w:themeColor="text1"/>
              </w:rPr>
            </w:pPr>
            <w:bookmarkStart w:id="3" w:name="_GoBack"/>
            <w:bookmarkEnd w:id="3"/>
          </w:p>
        </w:tc>
      </w:tr>
    </w:tbl>
    <w:p w:rsidR="0062457C" w:rsidRDefault="0062457C" w:rsidP="0041465E"/>
    <w:sectPr w:rsidR="0062457C" w:rsidSect="002951E2">
      <w:headerReference w:type="default" r:id="rId11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ristel Marquet" w:date="2021-09-08T14:01:00Z" w:initials="CM">
    <w:p w:rsidR="00860CE2" w:rsidRDefault="00860CE2">
      <w:pPr>
        <w:pStyle w:val="Commentaire"/>
      </w:pPr>
      <w:r>
        <w:rPr>
          <w:rStyle w:val="Marquedecommentaire"/>
        </w:rPr>
        <w:annotationRef/>
      </w:r>
      <w:r>
        <w:t>Il existe des cas où le taux d’accroissement des espaces urbanisés ou d’accroissement des ménages est nul.</w:t>
      </w:r>
    </w:p>
    <w:p w:rsidR="00860CE2" w:rsidRDefault="00860CE2">
      <w:pPr>
        <w:pStyle w:val="Commentaire"/>
      </w:pPr>
      <w:r>
        <w:t>La formule ne fonctionne donc pas dans tous les cas.</w:t>
      </w:r>
    </w:p>
    <w:p w:rsidR="00860CE2" w:rsidRDefault="00860CE2">
      <w:pPr>
        <w:pStyle w:val="Commentaire"/>
      </w:pPr>
      <w:r>
        <w:t>Trouver une autre formule ou définir des règles pour ces cas ?</w:t>
      </w:r>
    </w:p>
  </w:comment>
  <w:comment w:id="1" w:author="Christel Marquet" w:date="2021-09-09T16:08:00Z" w:initials="CM">
    <w:p w:rsidR="00860CE2" w:rsidRDefault="00860CE2">
      <w:pPr>
        <w:pStyle w:val="Commentaire"/>
      </w:pPr>
      <w:r>
        <w:rPr>
          <w:rStyle w:val="Marquedecommentaire"/>
        </w:rPr>
        <w:annotationRef/>
      </w:r>
      <w:r>
        <w:t>Notion de « proche de 1 », et très inférieur ou supérieur à 1 à préciser.</w:t>
      </w:r>
    </w:p>
    <w:p w:rsidR="00860CE2" w:rsidRDefault="00860CE2">
      <w:pPr>
        <w:pStyle w:val="Commentaire"/>
      </w:pPr>
    </w:p>
    <w:p w:rsidR="00860CE2" w:rsidRDefault="00860CE2">
      <w:pPr>
        <w:pStyle w:val="Commentaire"/>
      </w:pPr>
      <w:r>
        <w:t>Le tableau des résultats ci-dessous contient les résultats sur les 20% de la Nièvre pour aider à cette détermination</w:t>
      </w:r>
    </w:p>
  </w:comment>
  <w:comment w:id="2" w:author="Christel Marquet" w:date="2021-09-21T14:21:00Z" w:initials="CM">
    <w:p w:rsidR="00860CE2" w:rsidRDefault="00860CE2">
      <w:pPr>
        <w:pStyle w:val="Commentaire"/>
      </w:pPr>
      <w:r>
        <w:rPr>
          <w:rStyle w:val="Marquedecommentaire"/>
        </w:rPr>
        <w:annotationRef/>
      </w:r>
      <w:r>
        <w:t>Dans le fichier qui sera disponible sur le démonstrateur et en téléchargement, une colonne supplémentaire sera présente et indiquera la catégorie des communes : sobriété foncière, pas d’étalement urbain,…</w:t>
      </w:r>
    </w:p>
    <w:p w:rsidR="00860CE2" w:rsidRDefault="00860CE2">
      <w:pPr>
        <w:pStyle w:val="Commentaire"/>
      </w:pPr>
    </w:p>
    <w:p w:rsidR="00860CE2" w:rsidRDefault="00860CE2">
      <w:pPr>
        <w:pStyle w:val="Commentaire"/>
      </w:pPr>
      <w:r>
        <w:t>Ici, colonne non ajoutée pour garder un peu de lisibilité du tableau mais les résultats classés par catégorie sont disponibles ci-dessous.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9E" w:rsidRDefault="00EC509E" w:rsidP="0062457C">
      <w:pPr>
        <w:spacing w:after="0" w:line="240" w:lineRule="auto"/>
      </w:pPr>
      <w:r>
        <w:separator/>
      </w:r>
    </w:p>
  </w:endnote>
  <w:endnote w:type="continuationSeparator" w:id="0">
    <w:p w:rsidR="00EC509E" w:rsidRDefault="00EC509E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9E" w:rsidRDefault="00EC509E" w:rsidP="0062457C">
      <w:pPr>
        <w:spacing w:after="0" w:line="240" w:lineRule="auto"/>
      </w:pPr>
      <w:r>
        <w:separator/>
      </w:r>
    </w:p>
  </w:footnote>
  <w:footnote w:type="continuationSeparator" w:id="0">
    <w:p w:rsidR="00EC509E" w:rsidRDefault="00EC509E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E2" w:rsidRDefault="00860CE2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0CE2" w:rsidRPr="00BA0B0A" w:rsidRDefault="00860CE2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860CE2" w:rsidRPr="00BA0B0A" w:rsidRDefault="00860CE2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>
                            <w:rPr>
                              <w:iCs/>
                              <w:color w:val="000000" w:themeColor="text1"/>
                            </w:rPr>
                            <w:t>05</w:t>
                          </w:r>
                        </w:p>
                        <w:p w:rsidR="00860CE2" w:rsidRPr="00D22C3F" w:rsidRDefault="00860CE2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4</w:t>
                          </w:r>
                          <w:r w:rsidR="004960C6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.2</w:t>
                          </w: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 w:rsidR="004960C6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22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/09/2021</w:t>
                          </w:r>
                        </w:p>
                        <w:p w:rsidR="00860CE2" w:rsidRPr="003C0357" w:rsidRDefault="00860CE2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860CE2" w:rsidRPr="00BA0B0A" w:rsidRDefault="00860CE2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860CE2" w:rsidRPr="00BA0B0A" w:rsidRDefault="00860CE2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>
                      <w:rPr>
                        <w:iCs/>
                        <w:color w:val="000000" w:themeColor="text1"/>
                      </w:rPr>
                      <w:t>05</w:t>
                    </w:r>
                  </w:p>
                  <w:p w:rsidR="00860CE2" w:rsidRPr="00D22C3F" w:rsidRDefault="00860CE2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>V0.</w:t>
                    </w:r>
                    <w:r>
                      <w:rPr>
                        <w:i/>
                        <w:iCs/>
                        <w:color w:val="808080" w:themeColor="background1" w:themeShade="80"/>
                      </w:rPr>
                      <w:t>4</w:t>
                    </w:r>
                    <w:r w:rsidR="004960C6">
                      <w:rPr>
                        <w:i/>
                        <w:iCs/>
                        <w:color w:val="808080" w:themeColor="background1" w:themeShade="80"/>
                      </w:rPr>
                      <w:t>.2</w:t>
                    </w: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 w:rsidR="004960C6">
                      <w:rPr>
                        <w:i/>
                        <w:iCs/>
                        <w:color w:val="808080" w:themeColor="background1" w:themeShade="80"/>
                      </w:rPr>
                      <w:t>22</w:t>
                    </w:r>
                    <w:r>
                      <w:rPr>
                        <w:i/>
                        <w:iCs/>
                        <w:color w:val="808080" w:themeColor="background1" w:themeShade="80"/>
                      </w:rPr>
                      <w:t>/09/2021</w:t>
                    </w:r>
                  </w:p>
                  <w:p w:rsidR="00860CE2" w:rsidRPr="003C0357" w:rsidRDefault="00860CE2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57495D51"/>
    <w:multiLevelType w:val="hybridMultilevel"/>
    <w:tmpl w:val="30161998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0"/>
  </w:num>
  <w:num w:numId="24">
    <w:abstractNumId w:val="12"/>
  </w:num>
  <w:num w:numId="25">
    <w:abstractNumId w:val="8"/>
  </w:num>
  <w:num w:numId="26">
    <w:abstractNumId w:val="9"/>
  </w:num>
  <w:num w:numId="27">
    <w:abstractNumId w:val="7"/>
  </w:num>
  <w:num w:numId="28">
    <w:abstractNumId w:val="2"/>
  </w:num>
  <w:num w:numId="29">
    <w:abstractNumId w:val="13"/>
  </w:num>
  <w:num w:numId="30">
    <w:abstractNumId w:val="6"/>
  </w:num>
  <w:num w:numId="31">
    <w:abstractNumId w:val="1"/>
  </w:num>
  <w:num w:numId="32">
    <w:abstractNumId w:val="5"/>
  </w:num>
  <w:num w:numId="33">
    <w:abstractNumId w:val="3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07EA4"/>
    <w:rsid w:val="000108A0"/>
    <w:rsid w:val="00010D91"/>
    <w:rsid w:val="00010DFF"/>
    <w:rsid w:val="00011B5F"/>
    <w:rsid w:val="00011E1D"/>
    <w:rsid w:val="00011EE4"/>
    <w:rsid w:val="00013D2E"/>
    <w:rsid w:val="000140F2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C7C"/>
    <w:rsid w:val="00030D00"/>
    <w:rsid w:val="000337DE"/>
    <w:rsid w:val="00033C9D"/>
    <w:rsid w:val="000344BD"/>
    <w:rsid w:val="000352A8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B85"/>
    <w:rsid w:val="00051273"/>
    <w:rsid w:val="00051C33"/>
    <w:rsid w:val="000521C5"/>
    <w:rsid w:val="0005240E"/>
    <w:rsid w:val="000533D6"/>
    <w:rsid w:val="00056056"/>
    <w:rsid w:val="00056843"/>
    <w:rsid w:val="00061EF5"/>
    <w:rsid w:val="00062837"/>
    <w:rsid w:val="00063222"/>
    <w:rsid w:val="00063566"/>
    <w:rsid w:val="00064224"/>
    <w:rsid w:val="00065779"/>
    <w:rsid w:val="00066028"/>
    <w:rsid w:val="00066CC6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CF4"/>
    <w:rsid w:val="00087DFA"/>
    <w:rsid w:val="000905FB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6BF4"/>
    <w:rsid w:val="000B7228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590A"/>
    <w:rsid w:val="00105E51"/>
    <w:rsid w:val="001060D1"/>
    <w:rsid w:val="00106B08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424C"/>
    <w:rsid w:val="0013539D"/>
    <w:rsid w:val="00136356"/>
    <w:rsid w:val="00136930"/>
    <w:rsid w:val="00137E00"/>
    <w:rsid w:val="00144F4A"/>
    <w:rsid w:val="00145B41"/>
    <w:rsid w:val="0015073C"/>
    <w:rsid w:val="001510CA"/>
    <w:rsid w:val="001511C0"/>
    <w:rsid w:val="0015167E"/>
    <w:rsid w:val="001528BC"/>
    <w:rsid w:val="00153A35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FB9"/>
    <w:rsid w:val="001842EB"/>
    <w:rsid w:val="00187DBD"/>
    <w:rsid w:val="00187FD8"/>
    <w:rsid w:val="001905E5"/>
    <w:rsid w:val="00190E70"/>
    <w:rsid w:val="00191A24"/>
    <w:rsid w:val="00191D22"/>
    <w:rsid w:val="001921A7"/>
    <w:rsid w:val="001934CA"/>
    <w:rsid w:val="00193877"/>
    <w:rsid w:val="00193C92"/>
    <w:rsid w:val="00193F01"/>
    <w:rsid w:val="001941AA"/>
    <w:rsid w:val="00196140"/>
    <w:rsid w:val="0019618C"/>
    <w:rsid w:val="00196A75"/>
    <w:rsid w:val="0019722D"/>
    <w:rsid w:val="001A01D0"/>
    <w:rsid w:val="001A106D"/>
    <w:rsid w:val="001A1E1D"/>
    <w:rsid w:val="001A28D4"/>
    <w:rsid w:val="001A30F1"/>
    <w:rsid w:val="001A55F4"/>
    <w:rsid w:val="001A7AA2"/>
    <w:rsid w:val="001B176E"/>
    <w:rsid w:val="001B2AAD"/>
    <w:rsid w:val="001B395A"/>
    <w:rsid w:val="001B3FB5"/>
    <w:rsid w:val="001B48F5"/>
    <w:rsid w:val="001B4C38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233E"/>
    <w:rsid w:val="001D3D7C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E44"/>
    <w:rsid w:val="00220966"/>
    <w:rsid w:val="00221F03"/>
    <w:rsid w:val="00222A18"/>
    <w:rsid w:val="002233BC"/>
    <w:rsid w:val="002236EE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E47"/>
    <w:rsid w:val="0024549B"/>
    <w:rsid w:val="00245E6D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00"/>
    <w:rsid w:val="00254914"/>
    <w:rsid w:val="0025492B"/>
    <w:rsid w:val="00255D56"/>
    <w:rsid w:val="0025633B"/>
    <w:rsid w:val="002613BD"/>
    <w:rsid w:val="002638A8"/>
    <w:rsid w:val="0026528A"/>
    <w:rsid w:val="0026662C"/>
    <w:rsid w:val="00267031"/>
    <w:rsid w:val="002678FC"/>
    <w:rsid w:val="00270FCF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97CE2"/>
    <w:rsid w:val="002A14A5"/>
    <w:rsid w:val="002A37DD"/>
    <w:rsid w:val="002A39F9"/>
    <w:rsid w:val="002A484A"/>
    <w:rsid w:val="002B0E8B"/>
    <w:rsid w:val="002B2222"/>
    <w:rsid w:val="002B27C2"/>
    <w:rsid w:val="002B31D6"/>
    <w:rsid w:val="002B357E"/>
    <w:rsid w:val="002B3DDB"/>
    <w:rsid w:val="002B484A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181"/>
    <w:rsid w:val="002E0A40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315"/>
    <w:rsid w:val="002F26A9"/>
    <w:rsid w:val="002F3166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343A"/>
    <w:rsid w:val="0030486D"/>
    <w:rsid w:val="00304CA0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24B"/>
    <w:rsid w:val="00382A93"/>
    <w:rsid w:val="00382F12"/>
    <w:rsid w:val="0038396E"/>
    <w:rsid w:val="00384884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6CE"/>
    <w:rsid w:val="003948B3"/>
    <w:rsid w:val="00395264"/>
    <w:rsid w:val="003956D6"/>
    <w:rsid w:val="003A0C6F"/>
    <w:rsid w:val="003A21D8"/>
    <w:rsid w:val="003A2D93"/>
    <w:rsid w:val="003A3AF0"/>
    <w:rsid w:val="003A4084"/>
    <w:rsid w:val="003A4D36"/>
    <w:rsid w:val="003A4E66"/>
    <w:rsid w:val="003A6007"/>
    <w:rsid w:val="003A7958"/>
    <w:rsid w:val="003A7B57"/>
    <w:rsid w:val="003B07DA"/>
    <w:rsid w:val="003B08C5"/>
    <w:rsid w:val="003B0A5E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FDF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B0D"/>
    <w:rsid w:val="00405C1D"/>
    <w:rsid w:val="00406CC3"/>
    <w:rsid w:val="00406F18"/>
    <w:rsid w:val="004071BC"/>
    <w:rsid w:val="00407859"/>
    <w:rsid w:val="0041126D"/>
    <w:rsid w:val="00411DE9"/>
    <w:rsid w:val="004121D0"/>
    <w:rsid w:val="004128BF"/>
    <w:rsid w:val="0041318B"/>
    <w:rsid w:val="004143A0"/>
    <w:rsid w:val="0041465E"/>
    <w:rsid w:val="00414906"/>
    <w:rsid w:val="00415AED"/>
    <w:rsid w:val="00415B14"/>
    <w:rsid w:val="004169AD"/>
    <w:rsid w:val="0042023C"/>
    <w:rsid w:val="0042048D"/>
    <w:rsid w:val="00421D9B"/>
    <w:rsid w:val="004254D8"/>
    <w:rsid w:val="0042599B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65C"/>
    <w:rsid w:val="00453D49"/>
    <w:rsid w:val="00454268"/>
    <w:rsid w:val="0045498A"/>
    <w:rsid w:val="0045538F"/>
    <w:rsid w:val="00455A5A"/>
    <w:rsid w:val="00455F07"/>
    <w:rsid w:val="00456072"/>
    <w:rsid w:val="004566F2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32E4"/>
    <w:rsid w:val="00474EA9"/>
    <w:rsid w:val="00475690"/>
    <w:rsid w:val="00476A78"/>
    <w:rsid w:val="0047713E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900FE"/>
    <w:rsid w:val="004911AF"/>
    <w:rsid w:val="00491F71"/>
    <w:rsid w:val="0049432A"/>
    <w:rsid w:val="0049437A"/>
    <w:rsid w:val="004960C6"/>
    <w:rsid w:val="0049713C"/>
    <w:rsid w:val="004A164D"/>
    <w:rsid w:val="004A3949"/>
    <w:rsid w:val="004A4232"/>
    <w:rsid w:val="004A46B3"/>
    <w:rsid w:val="004A5640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72D1"/>
    <w:rsid w:val="004C791E"/>
    <w:rsid w:val="004D136F"/>
    <w:rsid w:val="004D25EF"/>
    <w:rsid w:val="004D2E82"/>
    <w:rsid w:val="004D5191"/>
    <w:rsid w:val="004D51A0"/>
    <w:rsid w:val="004D5953"/>
    <w:rsid w:val="004D6931"/>
    <w:rsid w:val="004E06BB"/>
    <w:rsid w:val="004E073C"/>
    <w:rsid w:val="004E0B1D"/>
    <w:rsid w:val="004E4223"/>
    <w:rsid w:val="004E42C1"/>
    <w:rsid w:val="004E4BA9"/>
    <w:rsid w:val="004E5A7C"/>
    <w:rsid w:val="004E60DE"/>
    <w:rsid w:val="004E7F35"/>
    <w:rsid w:val="004F1170"/>
    <w:rsid w:val="004F14AA"/>
    <w:rsid w:val="004F188A"/>
    <w:rsid w:val="004F1F71"/>
    <w:rsid w:val="004F21D1"/>
    <w:rsid w:val="004F2652"/>
    <w:rsid w:val="004F3621"/>
    <w:rsid w:val="004F426F"/>
    <w:rsid w:val="004F4286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7B6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30A6"/>
    <w:rsid w:val="00513C29"/>
    <w:rsid w:val="00513CD3"/>
    <w:rsid w:val="00515999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590"/>
    <w:rsid w:val="00551A51"/>
    <w:rsid w:val="00555BFA"/>
    <w:rsid w:val="00555E3C"/>
    <w:rsid w:val="005573B0"/>
    <w:rsid w:val="00561867"/>
    <w:rsid w:val="00561D93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15B5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3B6D"/>
    <w:rsid w:val="005C4626"/>
    <w:rsid w:val="005C523E"/>
    <w:rsid w:val="005C5BBC"/>
    <w:rsid w:val="005D130F"/>
    <w:rsid w:val="005D3320"/>
    <w:rsid w:val="005D4372"/>
    <w:rsid w:val="005D481C"/>
    <w:rsid w:val="005D4C01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8EF"/>
    <w:rsid w:val="005F7A97"/>
    <w:rsid w:val="00600507"/>
    <w:rsid w:val="00600674"/>
    <w:rsid w:val="0060250C"/>
    <w:rsid w:val="00602B39"/>
    <w:rsid w:val="00603650"/>
    <w:rsid w:val="00603D22"/>
    <w:rsid w:val="00603D6B"/>
    <w:rsid w:val="006045EB"/>
    <w:rsid w:val="006047CB"/>
    <w:rsid w:val="00604F9F"/>
    <w:rsid w:val="00607138"/>
    <w:rsid w:val="00610DC4"/>
    <w:rsid w:val="00610E0D"/>
    <w:rsid w:val="00613112"/>
    <w:rsid w:val="006143A1"/>
    <w:rsid w:val="00621B42"/>
    <w:rsid w:val="006227AC"/>
    <w:rsid w:val="00622A5E"/>
    <w:rsid w:val="006231CD"/>
    <w:rsid w:val="00623CBA"/>
    <w:rsid w:val="0062457C"/>
    <w:rsid w:val="006246D3"/>
    <w:rsid w:val="00624D72"/>
    <w:rsid w:val="006267B7"/>
    <w:rsid w:val="006271E0"/>
    <w:rsid w:val="006278E8"/>
    <w:rsid w:val="00627CC0"/>
    <w:rsid w:val="006300F4"/>
    <w:rsid w:val="00630840"/>
    <w:rsid w:val="006316A1"/>
    <w:rsid w:val="00631D57"/>
    <w:rsid w:val="00633966"/>
    <w:rsid w:val="00634CEA"/>
    <w:rsid w:val="006352A3"/>
    <w:rsid w:val="0064470C"/>
    <w:rsid w:val="0064543E"/>
    <w:rsid w:val="00645490"/>
    <w:rsid w:val="0065130A"/>
    <w:rsid w:val="006515EA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F11"/>
    <w:rsid w:val="00673F56"/>
    <w:rsid w:val="00674072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8758B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336"/>
    <w:rsid w:val="00696A11"/>
    <w:rsid w:val="00696EE8"/>
    <w:rsid w:val="0069731F"/>
    <w:rsid w:val="00697E64"/>
    <w:rsid w:val="00697F09"/>
    <w:rsid w:val="006A04E9"/>
    <w:rsid w:val="006A0A2B"/>
    <w:rsid w:val="006A0EC2"/>
    <w:rsid w:val="006A21CB"/>
    <w:rsid w:val="006A2457"/>
    <w:rsid w:val="006A2B58"/>
    <w:rsid w:val="006A36CD"/>
    <w:rsid w:val="006A3D7D"/>
    <w:rsid w:val="006A3EA9"/>
    <w:rsid w:val="006A402D"/>
    <w:rsid w:val="006A54C5"/>
    <w:rsid w:val="006A6162"/>
    <w:rsid w:val="006B19C2"/>
    <w:rsid w:val="006B1B23"/>
    <w:rsid w:val="006B2005"/>
    <w:rsid w:val="006B2018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132E"/>
    <w:rsid w:val="006F145E"/>
    <w:rsid w:val="006F14C1"/>
    <w:rsid w:val="006F1A07"/>
    <w:rsid w:val="006F2D76"/>
    <w:rsid w:val="006F352E"/>
    <w:rsid w:val="006F364A"/>
    <w:rsid w:val="006F3A5C"/>
    <w:rsid w:val="006F3B74"/>
    <w:rsid w:val="006F42A3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7971"/>
    <w:rsid w:val="00750B46"/>
    <w:rsid w:val="00751454"/>
    <w:rsid w:val="00751FE2"/>
    <w:rsid w:val="00752E3F"/>
    <w:rsid w:val="007560BD"/>
    <w:rsid w:val="0076015A"/>
    <w:rsid w:val="00760359"/>
    <w:rsid w:val="007619E9"/>
    <w:rsid w:val="00763A21"/>
    <w:rsid w:val="00763B4F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B46"/>
    <w:rsid w:val="00776FDB"/>
    <w:rsid w:val="007804A0"/>
    <w:rsid w:val="0078081C"/>
    <w:rsid w:val="007833FA"/>
    <w:rsid w:val="00784FF8"/>
    <w:rsid w:val="0078528D"/>
    <w:rsid w:val="00785686"/>
    <w:rsid w:val="00786E04"/>
    <w:rsid w:val="0078702D"/>
    <w:rsid w:val="007877F5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B0D78"/>
    <w:rsid w:val="007B127F"/>
    <w:rsid w:val="007B1A57"/>
    <w:rsid w:val="007B1B35"/>
    <w:rsid w:val="007B2B1C"/>
    <w:rsid w:val="007B2E69"/>
    <w:rsid w:val="007B35BE"/>
    <w:rsid w:val="007B3E47"/>
    <w:rsid w:val="007B5F75"/>
    <w:rsid w:val="007B622F"/>
    <w:rsid w:val="007B69FE"/>
    <w:rsid w:val="007B6CA1"/>
    <w:rsid w:val="007B7CCA"/>
    <w:rsid w:val="007C074A"/>
    <w:rsid w:val="007C1D24"/>
    <w:rsid w:val="007C491A"/>
    <w:rsid w:val="007C4B80"/>
    <w:rsid w:val="007C639E"/>
    <w:rsid w:val="007C68E8"/>
    <w:rsid w:val="007C6FA6"/>
    <w:rsid w:val="007D019E"/>
    <w:rsid w:val="007D05A7"/>
    <w:rsid w:val="007D0E68"/>
    <w:rsid w:val="007D137D"/>
    <w:rsid w:val="007D17BD"/>
    <w:rsid w:val="007D1852"/>
    <w:rsid w:val="007D26BE"/>
    <w:rsid w:val="007D2A8E"/>
    <w:rsid w:val="007D3537"/>
    <w:rsid w:val="007D3C27"/>
    <w:rsid w:val="007D48BB"/>
    <w:rsid w:val="007D58B6"/>
    <w:rsid w:val="007D6BC4"/>
    <w:rsid w:val="007E1361"/>
    <w:rsid w:val="007E1610"/>
    <w:rsid w:val="007E32D9"/>
    <w:rsid w:val="007E38E1"/>
    <w:rsid w:val="007E4429"/>
    <w:rsid w:val="007E593E"/>
    <w:rsid w:val="007E677B"/>
    <w:rsid w:val="007F078E"/>
    <w:rsid w:val="007F0C7D"/>
    <w:rsid w:val="007F1B03"/>
    <w:rsid w:val="007F2286"/>
    <w:rsid w:val="007F2FA1"/>
    <w:rsid w:val="007F31DC"/>
    <w:rsid w:val="007F3D67"/>
    <w:rsid w:val="007F4CC5"/>
    <w:rsid w:val="007F5AD5"/>
    <w:rsid w:val="007F5ADE"/>
    <w:rsid w:val="007F5B19"/>
    <w:rsid w:val="007F6047"/>
    <w:rsid w:val="007F687C"/>
    <w:rsid w:val="007F6A79"/>
    <w:rsid w:val="008010AB"/>
    <w:rsid w:val="00802400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CE2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977E6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906"/>
    <w:rsid w:val="008E18B1"/>
    <w:rsid w:val="008E27EC"/>
    <w:rsid w:val="008E349C"/>
    <w:rsid w:val="008E46B1"/>
    <w:rsid w:val="008E566F"/>
    <w:rsid w:val="008E5A4E"/>
    <w:rsid w:val="008E5FC5"/>
    <w:rsid w:val="008E635F"/>
    <w:rsid w:val="008E671A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43504"/>
    <w:rsid w:val="00943BA1"/>
    <w:rsid w:val="00943FDB"/>
    <w:rsid w:val="00946474"/>
    <w:rsid w:val="009464BB"/>
    <w:rsid w:val="00946FB9"/>
    <w:rsid w:val="009528C7"/>
    <w:rsid w:val="0095344D"/>
    <w:rsid w:val="0095419A"/>
    <w:rsid w:val="009546E6"/>
    <w:rsid w:val="00954B9C"/>
    <w:rsid w:val="009556AF"/>
    <w:rsid w:val="00956AC0"/>
    <w:rsid w:val="0095760A"/>
    <w:rsid w:val="0096022F"/>
    <w:rsid w:val="009607EE"/>
    <w:rsid w:val="00960B9B"/>
    <w:rsid w:val="00960D45"/>
    <w:rsid w:val="00963066"/>
    <w:rsid w:val="00963939"/>
    <w:rsid w:val="00963B85"/>
    <w:rsid w:val="00964134"/>
    <w:rsid w:val="0096642C"/>
    <w:rsid w:val="009703BF"/>
    <w:rsid w:val="00971F4D"/>
    <w:rsid w:val="0097341C"/>
    <w:rsid w:val="009740A4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3742"/>
    <w:rsid w:val="00984767"/>
    <w:rsid w:val="00984D41"/>
    <w:rsid w:val="0098650E"/>
    <w:rsid w:val="00986564"/>
    <w:rsid w:val="0098772D"/>
    <w:rsid w:val="00987BD2"/>
    <w:rsid w:val="00987F69"/>
    <w:rsid w:val="0099083D"/>
    <w:rsid w:val="0099186D"/>
    <w:rsid w:val="00992E7F"/>
    <w:rsid w:val="00994D98"/>
    <w:rsid w:val="00994F0D"/>
    <w:rsid w:val="00994F84"/>
    <w:rsid w:val="009951EF"/>
    <w:rsid w:val="00996876"/>
    <w:rsid w:val="009A045F"/>
    <w:rsid w:val="009A1124"/>
    <w:rsid w:val="009A184F"/>
    <w:rsid w:val="009A19A6"/>
    <w:rsid w:val="009A2AE5"/>
    <w:rsid w:val="009A36AE"/>
    <w:rsid w:val="009A505E"/>
    <w:rsid w:val="009A5F2C"/>
    <w:rsid w:val="009A62B1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3031"/>
    <w:rsid w:val="009C3042"/>
    <w:rsid w:val="009C351F"/>
    <w:rsid w:val="009C41E1"/>
    <w:rsid w:val="009C4D21"/>
    <w:rsid w:val="009C5189"/>
    <w:rsid w:val="009C532D"/>
    <w:rsid w:val="009C7464"/>
    <w:rsid w:val="009D3532"/>
    <w:rsid w:val="009D372D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5CBA"/>
    <w:rsid w:val="009F6565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EDF"/>
    <w:rsid w:val="00A162B8"/>
    <w:rsid w:val="00A165F8"/>
    <w:rsid w:val="00A16FAB"/>
    <w:rsid w:val="00A17D17"/>
    <w:rsid w:val="00A20465"/>
    <w:rsid w:val="00A20BE9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DE4"/>
    <w:rsid w:val="00A3436E"/>
    <w:rsid w:val="00A35D35"/>
    <w:rsid w:val="00A360BF"/>
    <w:rsid w:val="00A42447"/>
    <w:rsid w:val="00A4326C"/>
    <w:rsid w:val="00A4336F"/>
    <w:rsid w:val="00A43BFB"/>
    <w:rsid w:val="00A45396"/>
    <w:rsid w:val="00A45A32"/>
    <w:rsid w:val="00A467D3"/>
    <w:rsid w:val="00A502F2"/>
    <w:rsid w:val="00A50F4E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1ED"/>
    <w:rsid w:val="00A8638A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7586"/>
    <w:rsid w:val="00A97CBD"/>
    <w:rsid w:val="00AA035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DD0"/>
    <w:rsid w:val="00AB53A1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7800"/>
    <w:rsid w:val="00AE7DFE"/>
    <w:rsid w:val="00AF06BC"/>
    <w:rsid w:val="00AF0E4A"/>
    <w:rsid w:val="00AF148B"/>
    <w:rsid w:val="00AF2294"/>
    <w:rsid w:val="00AF3DC0"/>
    <w:rsid w:val="00AF45AD"/>
    <w:rsid w:val="00AF4860"/>
    <w:rsid w:val="00AF59D7"/>
    <w:rsid w:val="00AF64FE"/>
    <w:rsid w:val="00AF66DA"/>
    <w:rsid w:val="00AF6CF6"/>
    <w:rsid w:val="00AF700E"/>
    <w:rsid w:val="00AF70CD"/>
    <w:rsid w:val="00B00A16"/>
    <w:rsid w:val="00B01292"/>
    <w:rsid w:val="00B017AD"/>
    <w:rsid w:val="00B0194D"/>
    <w:rsid w:val="00B01BA6"/>
    <w:rsid w:val="00B02A10"/>
    <w:rsid w:val="00B03BA2"/>
    <w:rsid w:val="00B05473"/>
    <w:rsid w:val="00B06EF3"/>
    <w:rsid w:val="00B115FD"/>
    <w:rsid w:val="00B1291A"/>
    <w:rsid w:val="00B134B8"/>
    <w:rsid w:val="00B13655"/>
    <w:rsid w:val="00B13AC0"/>
    <w:rsid w:val="00B146FA"/>
    <w:rsid w:val="00B14B7F"/>
    <w:rsid w:val="00B15407"/>
    <w:rsid w:val="00B164CD"/>
    <w:rsid w:val="00B17C77"/>
    <w:rsid w:val="00B17D96"/>
    <w:rsid w:val="00B21FE5"/>
    <w:rsid w:val="00B22D07"/>
    <w:rsid w:val="00B22D41"/>
    <w:rsid w:val="00B23174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59D8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700"/>
    <w:rsid w:val="00BC2AE6"/>
    <w:rsid w:val="00BC5FAB"/>
    <w:rsid w:val="00BC6AE6"/>
    <w:rsid w:val="00BC7842"/>
    <w:rsid w:val="00BC7AFF"/>
    <w:rsid w:val="00BC7D88"/>
    <w:rsid w:val="00BD0315"/>
    <w:rsid w:val="00BD31D4"/>
    <w:rsid w:val="00BD3764"/>
    <w:rsid w:val="00BD38F0"/>
    <w:rsid w:val="00BD79F1"/>
    <w:rsid w:val="00BE0801"/>
    <w:rsid w:val="00BE155B"/>
    <w:rsid w:val="00BE1906"/>
    <w:rsid w:val="00BE3D45"/>
    <w:rsid w:val="00BE4778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320"/>
    <w:rsid w:val="00BF7FA6"/>
    <w:rsid w:val="00C00214"/>
    <w:rsid w:val="00C01643"/>
    <w:rsid w:val="00C0204B"/>
    <w:rsid w:val="00C02633"/>
    <w:rsid w:val="00C02817"/>
    <w:rsid w:val="00C039CE"/>
    <w:rsid w:val="00C04333"/>
    <w:rsid w:val="00C04B72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7D0C"/>
    <w:rsid w:val="00C204B5"/>
    <w:rsid w:val="00C2052B"/>
    <w:rsid w:val="00C20828"/>
    <w:rsid w:val="00C20963"/>
    <w:rsid w:val="00C20A0A"/>
    <w:rsid w:val="00C21075"/>
    <w:rsid w:val="00C23ADF"/>
    <w:rsid w:val="00C23BD7"/>
    <w:rsid w:val="00C24693"/>
    <w:rsid w:val="00C24D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6491"/>
    <w:rsid w:val="00C76B46"/>
    <w:rsid w:val="00C77462"/>
    <w:rsid w:val="00C77598"/>
    <w:rsid w:val="00C775F3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C01"/>
    <w:rsid w:val="00C96338"/>
    <w:rsid w:val="00C97B5C"/>
    <w:rsid w:val="00C97FF2"/>
    <w:rsid w:val="00CA0556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C7B11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294F"/>
    <w:rsid w:val="00CE386A"/>
    <w:rsid w:val="00CE4B49"/>
    <w:rsid w:val="00CE5209"/>
    <w:rsid w:val="00CE5C08"/>
    <w:rsid w:val="00CE66EB"/>
    <w:rsid w:val="00CE7C5E"/>
    <w:rsid w:val="00CE7D23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49E1"/>
    <w:rsid w:val="00D04F0F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207F9"/>
    <w:rsid w:val="00D21157"/>
    <w:rsid w:val="00D21ACB"/>
    <w:rsid w:val="00D2224A"/>
    <w:rsid w:val="00D2345D"/>
    <w:rsid w:val="00D2454C"/>
    <w:rsid w:val="00D24B1D"/>
    <w:rsid w:val="00D26CD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80788"/>
    <w:rsid w:val="00D8125F"/>
    <w:rsid w:val="00D812BC"/>
    <w:rsid w:val="00D814E2"/>
    <w:rsid w:val="00D81CC9"/>
    <w:rsid w:val="00D83A90"/>
    <w:rsid w:val="00D84B13"/>
    <w:rsid w:val="00D851A6"/>
    <w:rsid w:val="00D853F8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FE4"/>
    <w:rsid w:val="00DE4650"/>
    <w:rsid w:val="00DE535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4B4D"/>
    <w:rsid w:val="00E04B66"/>
    <w:rsid w:val="00E04C4A"/>
    <w:rsid w:val="00E06CA4"/>
    <w:rsid w:val="00E07A09"/>
    <w:rsid w:val="00E1001D"/>
    <w:rsid w:val="00E1211E"/>
    <w:rsid w:val="00E12535"/>
    <w:rsid w:val="00E129EC"/>
    <w:rsid w:val="00E131F3"/>
    <w:rsid w:val="00E1435A"/>
    <w:rsid w:val="00E144AB"/>
    <w:rsid w:val="00E14777"/>
    <w:rsid w:val="00E15C1B"/>
    <w:rsid w:val="00E165AF"/>
    <w:rsid w:val="00E16D04"/>
    <w:rsid w:val="00E205A5"/>
    <w:rsid w:val="00E21A95"/>
    <w:rsid w:val="00E23296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1BCA"/>
    <w:rsid w:val="00E436BB"/>
    <w:rsid w:val="00E43D9A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534E"/>
    <w:rsid w:val="00E65407"/>
    <w:rsid w:val="00E66314"/>
    <w:rsid w:val="00E6758A"/>
    <w:rsid w:val="00E67E3F"/>
    <w:rsid w:val="00E70465"/>
    <w:rsid w:val="00E70BCD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44A3"/>
    <w:rsid w:val="00EB4802"/>
    <w:rsid w:val="00EB5679"/>
    <w:rsid w:val="00EB5D24"/>
    <w:rsid w:val="00EB693C"/>
    <w:rsid w:val="00EB79FA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09E"/>
    <w:rsid w:val="00EC5453"/>
    <w:rsid w:val="00EC6E2E"/>
    <w:rsid w:val="00EC742A"/>
    <w:rsid w:val="00ED0879"/>
    <w:rsid w:val="00ED0C53"/>
    <w:rsid w:val="00ED1897"/>
    <w:rsid w:val="00ED2BC5"/>
    <w:rsid w:val="00ED5C59"/>
    <w:rsid w:val="00ED7FE5"/>
    <w:rsid w:val="00EE025A"/>
    <w:rsid w:val="00EE169B"/>
    <w:rsid w:val="00EE16CE"/>
    <w:rsid w:val="00EE2183"/>
    <w:rsid w:val="00EE3CBC"/>
    <w:rsid w:val="00EE42E9"/>
    <w:rsid w:val="00EE544A"/>
    <w:rsid w:val="00EE5459"/>
    <w:rsid w:val="00EE5A89"/>
    <w:rsid w:val="00EE5AA4"/>
    <w:rsid w:val="00EE5D3F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DFD"/>
    <w:rsid w:val="00F13318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0F04"/>
    <w:rsid w:val="00F21025"/>
    <w:rsid w:val="00F22880"/>
    <w:rsid w:val="00F237E2"/>
    <w:rsid w:val="00F23EA1"/>
    <w:rsid w:val="00F24190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404F"/>
    <w:rsid w:val="00FC431B"/>
    <w:rsid w:val="00FC613B"/>
    <w:rsid w:val="00FC6F00"/>
    <w:rsid w:val="00FD15A4"/>
    <w:rsid w:val="00FD193C"/>
    <w:rsid w:val="00FD1D9B"/>
    <w:rsid w:val="00FD2D1F"/>
    <w:rsid w:val="00FD2E82"/>
    <w:rsid w:val="00FD4526"/>
    <w:rsid w:val="00FD5486"/>
    <w:rsid w:val="00FD57DA"/>
    <w:rsid w:val="00FE1090"/>
    <w:rsid w:val="00FE1758"/>
    <w:rsid w:val="00FE22E9"/>
    <w:rsid w:val="00FE3041"/>
    <w:rsid w:val="00FE34BF"/>
    <w:rsid w:val="00FE6736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  <w:style w:type="table" w:styleId="Tramemoyenne1-Accent3">
    <w:name w:val="Medium Shading 1 Accent 3"/>
    <w:basedOn w:val="TableauNormal"/>
    <w:uiPriority w:val="63"/>
    <w:rsid w:val="005C3B6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  <w:style w:type="table" w:styleId="Tramemoyenne1-Accent3">
    <w:name w:val="Medium Shading 1 Accent 3"/>
    <w:basedOn w:val="TableauNormal"/>
    <w:uiPriority w:val="63"/>
    <w:rsid w:val="005C3B6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Commune</a:t>
            </a:r>
            <a:r>
              <a:rPr lang="en-US" baseline="0"/>
              <a:t> XXX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909631087780701E-2"/>
          <c:y val="0.26628407392244047"/>
          <c:w val="0.6716020718354947"/>
          <c:h val="0.64735286736152275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Accroissement enveloppe urbaine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xVal>
            <c:numRef>
              <c:f>Feuil1!$A$2</c:f>
              <c:numCache>
                <c:formatCode>0.00%</c:formatCode>
                <c:ptCount val="1"/>
                <c:pt idx="0">
                  <c:v>-2.06E-2</c:v>
                </c:pt>
              </c:numCache>
            </c:numRef>
          </c:xVal>
          <c:yVal>
            <c:numRef>
              <c:f>Feuil1!$B$2</c:f>
              <c:numCache>
                <c:formatCode>0.00%</c:formatCode>
                <c:ptCount val="1"/>
                <c:pt idx="0">
                  <c:v>1.41E-2</c:v>
                </c:pt>
              </c:numCache>
            </c:numRef>
          </c:y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34998016"/>
        <c:axId val="295510400"/>
      </c:scatterChart>
      <c:valAx>
        <c:axId val="234998016"/>
        <c:scaling>
          <c:orientation val="minMax"/>
          <c:max val="2.4000000000000004E-2"/>
          <c:min val="-2.4000000000000004E-2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Taux d'accroissement </a:t>
                </a:r>
              </a:p>
              <a:p>
                <a:pPr>
                  <a:defRPr/>
                </a:pPr>
                <a:r>
                  <a:rPr lang="fr-FR"/>
                  <a:t>des</a:t>
                </a:r>
                <a:r>
                  <a:rPr lang="fr-FR" baseline="0"/>
                  <a:t> ménages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8329760251743596"/>
              <c:y val="0.54369005372140655"/>
            </c:manualLayout>
          </c:layout>
          <c:overlay val="0"/>
        </c:title>
        <c:numFmt formatCode="0.00%" sourceLinked="1"/>
        <c:majorTickMark val="cross"/>
        <c:minorTickMark val="none"/>
        <c:tickLblPos val="nextTo"/>
        <c:crossAx val="295510400"/>
        <c:crossesAt val="0"/>
        <c:crossBetween val="midCat"/>
        <c:majorUnit val="8.0000000000000019E-3"/>
      </c:valAx>
      <c:valAx>
        <c:axId val="295510400"/>
        <c:scaling>
          <c:orientation val="minMax"/>
          <c:max val="1.6000000000000004E-2"/>
          <c:min val="-1.6000000000000004E-2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fr-FR"/>
                  <a:t>Taux</a:t>
                </a:r>
                <a:r>
                  <a:rPr lang="fr-FR" baseline="0"/>
                  <a:t> d'accroissement de l'enveloppe urbaine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30498325521399183"/>
              <c:y val="0.11734430200600554"/>
            </c:manualLayout>
          </c:layout>
          <c:overlay val="0"/>
        </c:title>
        <c:numFmt formatCode="0.00%" sourceLinked="1"/>
        <c:majorTickMark val="cross"/>
        <c:minorTickMark val="none"/>
        <c:tickLblPos val="nextTo"/>
        <c:crossAx val="234998016"/>
        <c:crossesAt val="0"/>
        <c:crossBetween val="midCat"/>
        <c:majorUnit val="8.0000000000000019E-3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0.07286</cdr:x>
      <cdr:y>0.26382</cdr:y>
    </cdr:from>
    <cdr:to>
      <cdr:x>0.74253</cdr:x>
      <cdr:y>0.91262</cdr:y>
    </cdr:to>
    <cdr:grpSp>
      <cdr:nvGrpSpPr>
        <cdr:cNvPr id="10" name="Groupe 9"/>
        <cdr:cNvGrpSpPr/>
      </cdr:nvGrpSpPr>
      <cdr:grpSpPr>
        <a:xfrm xmlns:a="http://schemas.openxmlformats.org/drawingml/2006/main">
          <a:off x="422476" y="995423"/>
          <a:ext cx="3883306" cy="2448046"/>
          <a:chOff x="422476" y="995423"/>
          <a:chExt cx="3883306" cy="2448046"/>
        </a:xfrm>
      </cdr:grpSpPr>
      <cdr:cxnSp macro="">
        <cdr:nvCxnSpPr>
          <cdr:cNvPr id="3" name="Connecteur droit 2"/>
          <cdr:cNvCxnSpPr/>
        </cdr:nvCxnSpPr>
        <cdr:spPr>
          <a:xfrm xmlns:a="http://schemas.openxmlformats.org/drawingml/2006/main" flipH="1">
            <a:off x="2355448" y="995423"/>
            <a:ext cx="0" cy="2448046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4" name="Connecteur droit 3"/>
          <cdr:cNvCxnSpPr/>
        </cdr:nvCxnSpPr>
        <cdr:spPr>
          <a:xfrm xmlns:a="http://schemas.openxmlformats.org/drawingml/2006/main">
            <a:off x="422476" y="2216552"/>
            <a:ext cx="3883306" cy="0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" name="Connecteur droit 6"/>
          <cdr:cNvCxnSpPr/>
        </cdr:nvCxnSpPr>
        <cdr:spPr>
          <a:xfrm xmlns:a="http://schemas.openxmlformats.org/drawingml/2006/main" flipV="1">
            <a:off x="2361235" y="1012785"/>
            <a:ext cx="1307940" cy="1197980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0.40605</cdr:x>
      <cdr:y>0.26382</cdr:y>
    </cdr:from>
    <cdr:to>
      <cdr:x>0.74239</cdr:x>
      <cdr:y>0.58821</cdr:y>
    </cdr:to>
    <cdr:grpSp>
      <cdr:nvGrpSpPr>
        <cdr:cNvPr id="9" name="Groupe 8"/>
        <cdr:cNvGrpSpPr/>
      </cdr:nvGrpSpPr>
      <cdr:grpSpPr>
        <a:xfrm xmlns:a="http://schemas.openxmlformats.org/drawingml/2006/main">
          <a:off x="2354636" y="995422"/>
          <a:ext cx="1950334" cy="1224000"/>
          <a:chOff x="2354636" y="995422"/>
          <a:chExt cx="1950334" cy="1224000"/>
        </a:xfrm>
      </cdr:grpSpPr>
      <cdr:sp macro="" textlink="">
        <cdr:nvSpPr>
          <cdr:cNvPr id="5" name="Triangle rectangle 4"/>
          <cdr:cNvSpPr/>
        </cdr:nvSpPr>
        <cdr:spPr>
          <a:xfrm xmlns:a="http://schemas.openxmlformats.org/drawingml/2006/main" flipV="1">
            <a:off x="2361234" y="995422"/>
            <a:ext cx="1332000" cy="1224000"/>
          </a:xfrm>
          <a:prstGeom xmlns:a="http://schemas.openxmlformats.org/drawingml/2006/main" prst="rtTriangle">
            <a:avLst/>
          </a:prstGeom>
          <a:solidFill xmlns:a="http://schemas.openxmlformats.org/drawingml/2006/main">
            <a:srgbClr val="C0504D">
              <a:alpha val="50196"/>
            </a:srgbClr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fr-FR"/>
          </a:p>
        </cdr:txBody>
      </cdr:sp>
      <cdr:sp macro="" textlink="">
        <cdr:nvSpPr>
          <cdr:cNvPr id="6" name="Triangle rectangle 5"/>
          <cdr:cNvSpPr/>
        </cdr:nvSpPr>
        <cdr:spPr>
          <a:xfrm xmlns:a="http://schemas.openxmlformats.org/drawingml/2006/main" flipH="1">
            <a:off x="2354636" y="995423"/>
            <a:ext cx="1349263" cy="1212850"/>
          </a:xfrm>
          <a:prstGeom xmlns:a="http://schemas.openxmlformats.org/drawingml/2006/main" prst="rtTriangle">
            <a:avLst/>
          </a:prstGeom>
          <a:solidFill xmlns:a="http://schemas.openxmlformats.org/drawingml/2006/main">
            <a:srgbClr val="92D050">
              <a:alpha val="50196"/>
            </a:srgbClr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fr-FR"/>
          </a:p>
        </cdr:txBody>
      </cdr:sp>
      <cdr:sp macro="" textlink="">
        <cdr:nvSpPr>
          <cdr:cNvPr id="8" name="Rectangle 7"/>
          <cdr:cNvSpPr/>
        </cdr:nvSpPr>
        <cdr:spPr>
          <a:xfrm xmlns:a="http://schemas.openxmlformats.org/drawingml/2006/main">
            <a:off x="3703899" y="995423"/>
            <a:ext cx="601071" cy="1212850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92D050">
              <a:alpha val="50196"/>
            </a:srgbClr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fr-FR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C4BC-DC4C-4AF4-84C0-06A21865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1543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Marquet</dc:creator>
  <cp:lastModifiedBy>Christel Marquet</cp:lastModifiedBy>
  <cp:revision>3</cp:revision>
  <dcterms:created xsi:type="dcterms:W3CDTF">2021-09-21T12:17:00Z</dcterms:created>
  <dcterms:modified xsi:type="dcterms:W3CDTF">2021-09-21T12:33:00Z</dcterms:modified>
</cp:coreProperties>
</file>