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62457C" w:rsidP="0015085D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É</w:t>
            </w:r>
            <w:r w:rsidRPr="006C0E02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 xml:space="preserve">volution des </w:t>
            </w:r>
            <w:r w:rsidR="0015085D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usages au sein des espaces urbanisés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BA0B0A" w:rsidP="006A1C52">
            <w:pPr>
              <w:spacing w:before="120" w:after="120"/>
              <w:rPr>
                <w:b/>
                <w:bCs/>
                <w:color w:val="009900"/>
              </w:rPr>
            </w:pPr>
            <w:r w:rsidRPr="00BA0B0A">
              <w:rPr>
                <w:color w:val="000000" w:themeColor="text1"/>
              </w:rPr>
              <w:t>M</w:t>
            </w:r>
            <w:r w:rsidR="00D26CD6" w:rsidRPr="00BA0B0A">
              <w:rPr>
                <w:color w:val="000000" w:themeColor="text1"/>
              </w:rPr>
              <w:t xml:space="preserve">esurer l’évolution </w:t>
            </w:r>
            <w:r w:rsidRPr="00BA0B0A">
              <w:rPr>
                <w:color w:val="000000" w:themeColor="text1"/>
              </w:rPr>
              <w:t xml:space="preserve">des </w:t>
            </w:r>
            <w:r w:rsidR="006A1C52">
              <w:rPr>
                <w:color w:val="000000" w:themeColor="text1"/>
              </w:rPr>
              <w:t>usages au sein des espaces urbanisés (cf. définition dans la fiche indicateur n°01)</w:t>
            </w:r>
            <w:r w:rsidRPr="00BA0B0A">
              <w:rPr>
                <w:color w:val="000000" w:themeColor="text1"/>
              </w:rPr>
              <w:t>.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62457C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 xml:space="preserve">Identification </w:t>
            </w:r>
            <w:r w:rsidR="006A1C52">
              <w:rPr>
                <w:b/>
                <w:bCs/>
                <w:color w:val="000000" w:themeColor="text1"/>
              </w:rPr>
              <w:t>des espaces urbanisés et de leurs usages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073E35" w:rsidRPr="006A1C52" w:rsidRDefault="006A1C52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Espaces urbanisés : cf. fiche indicateur n°01</w:t>
            </w:r>
          </w:p>
          <w:p w:rsidR="006A1C52" w:rsidRPr="004C6B74" w:rsidRDefault="006A1C52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Sélection des polygones OCS GE situés à l’intérieur des espaces urbanisés, </w:t>
            </w:r>
            <w:r w:rsidR="00C95918">
              <w:rPr>
                <w:bCs/>
                <w:color w:val="000000" w:themeColor="text1"/>
              </w:rPr>
              <w:t>quel que</w:t>
            </w:r>
            <w:r>
              <w:rPr>
                <w:bCs/>
                <w:color w:val="000000" w:themeColor="text1"/>
              </w:rPr>
              <w:t xml:space="preserve"> soit leur usage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B042E2" w:rsidP="006F06E3">
            <w:pPr>
              <w:pStyle w:val="Paragraphedeliste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6F06E3">
              <w:rPr>
                <w:color w:val="000000" w:themeColor="text1"/>
              </w:rPr>
              <w:t>Tous les espaces urbanisés</w:t>
            </w:r>
          </w:p>
          <w:p w:rsidR="00B042E2" w:rsidRPr="006F06E3" w:rsidRDefault="00B042E2" w:rsidP="006F06E3">
            <w:pPr>
              <w:pStyle w:val="Paragraphedeliste"/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2951E2" w:rsidRDefault="002951E2" w:rsidP="002951E2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</w:t>
            </w:r>
            <w:r w:rsidR="006A1C52">
              <w:rPr>
                <w:color w:val="000000" w:themeColor="text1"/>
              </w:rPr>
              <w:t>carrières,</w:t>
            </w:r>
          </w:p>
          <w:p w:rsidR="006A1C52" w:rsidRDefault="006A1C52" w:rsidP="002951E2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zones perméables (zones à matériaux minéraux, zones à autres matériaux minéraux)</w:t>
            </w:r>
          </w:p>
          <w:p w:rsidR="006A1C52" w:rsidRPr="00073E35" w:rsidRDefault="006A1C52" w:rsidP="002951E2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surfaces naturelles et les zones avec végétation dont l’usage est autre que production secondaire, production tertiaire et usage résidentiel : par exemple, les formations herbacées en bord de route, les zones en transition (chantiers),…</w:t>
            </w:r>
          </w:p>
          <w:p w:rsidR="00D45A68" w:rsidRPr="004C6B74" w:rsidRDefault="00D45A68" w:rsidP="004071BC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Pr="00BA0B0A" w:rsidRDefault="000A7545" w:rsidP="004C6B74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</w:t>
            </w:r>
            <w:r w:rsidR="006A1C52">
              <w:rPr>
                <w:color w:val="000000" w:themeColor="text1"/>
              </w:rPr>
              <w:t xml:space="preserve">situés à l’intérieur des espaces </w:t>
            </w:r>
            <w:r w:rsidR="00FD61A0">
              <w:rPr>
                <w:color w:val="000000" w:themeColor="text1"/>
              </w:rPr>
              <w:t>urbanisés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>pour les millésimes 2010/2011 et 2017/2018</w:t>
            </w:r>
            <w:r w:rsidR="00A8584B">
              <w:rPr>
                <w:color w:val="000000" w:themeColor="text1"/>
              </w:rPr>
              <w:t>, superficie cumulée</w:t>
            </w:r>
            <w:r w:rsidRPr="00BA0B0A">
              <w:rPr>
                <w:color w:val="000000" w:themeColor="text1"/>
              </w:rPr>
              <w:t xml:space="preserve"> 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0A7545" w:rsidRPr="00BA0B0A" w:rsidRDefault="000A7545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des </w:t>
            </w:r>
            <w:r w:rsidR="00A37115">
              <w:rPr>
                <w:color w:val="000000" w:themeColor="text1"/>
              </w:rPr>
              <w:t>espaces urbanisés</w:t>
            </w:r>
            <w:r w:rsidR="00A8584B">
              <w:rPr>
                <w:color w:val="000000" w:themeColor="text1"/>
              </w:rPr>
              <w:t xml:space="preserve"> par type </w:t>
            </w:r>
            <w:r w:rsidR="00A37115">
              <w:rPr>
                <w:color w:val="000000" w:themeColor="text1"/>
              </w:rPr>
              <w:t>d’usage</w:t>
            </w:r>
            <w:r w:rsidR="00A8584B">
              <w:rPr>
                <w:color w:val="000000" w:themeColor="text1"/>
              </w:rPr>
              <w:t xml:space="preserve"> </w:t>
            </w:r>
          </w:p>
          <w:p w:rsidR="000A7545" w:rsidRPr="00B1291A" w:rsidRDefault="00A37115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flux entre les types d’usage entre les millésimes 2010/2011 et 2017/2018</w:t>
            </w:r>
            <w:bookmarkStart w:id="0" w:name="_GoBack"/>
            <w:bookmarkEnd w:id="0"/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37AA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superficies en km², 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>proportion en % par rapport à l’ensemble des espaces urbanisés</w:t>
            </w:r>
            <w:r w:rsidR="00064224">
              <w:rPr>
                <w:color w:val="000000" w:themeColor="text1"/>
              </w:rPr>
              <w:t>.</w:t>
            </w:r>
          </w:p>
          <w:p w:rsidR="00DD03E7" w:rsidRDefault="00F60175" w:rsidP="00064224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</w:rPr>
            </w:pPr>
            <w:r w:rsidRPr="00BA0B0A">
              <w:rPr>
                <w:i/>
                <w:color w:val="000000" w:themeColor="text1"/>
              </w:rPr>
              <w:t xml:space="preserve">Exemple de graphiques illustrant </w:t>
            </w:r>
            <w:r w:rsidR="00FD61A0">
              <w:rPr>
                <w:i/>
                <w:color w:val="000000" w:themeColor="text1"/>
              </w:rPr>
              <w:t xml:space="preserve">la répartition des usages </w:t>
            </w:r>
            <w:r w:rsidRPr="00BA0B0A">
              <w:rPr>
                <w:i/>
                <w:color w:val="000000" w:themeColor="text1"/>
              </w:rPr>
              <w:t xml:space="preserve">au sein des </w:t>
            </w:r>
            <w:r w:rsidR="00FD61A0">
              <w:rPr>
                <w:i/>
                <w:color w:val="000000" w:themeColor="text1"/>
              </w:rPr>
              <w:t>espaces urbanisés</w:t>
            </w:r>
          </w:p>
          <w:p w:rsidR="00985495" w:rsidRPr="00985495" w:rsidRDefault="00985495" w:rsidP="00985495">
            <w:pPr>
              <w:spacing w:before="120" w:after="120" w:line="240" w:lineRule="auto"/>
              <w:ind w:left="1314" w:right="952"/>
              <w:jc w:val="center"/>
              <w:rPr>
                <w:color w:val="000000" w:themeColor="text1"/>
                <w:sz w:val="36"/>
                <w:szCs w:val="36"/>
              </w:rPr>
            </w:pPr>
            <w:r w:rsidRPr="00985495">
              <w:rPr>
                <w:b/>
                <w:bCs/>
                <w:color w:val="000000" w:themeColor="text1"/>
                <w:sz w:val="36"/>
                <w:szCs w:val="36"/>
              </w:rPr>
              <w:t>Répartition des usages au sein des espaces urbanisés</w:t>
            </w:r>
          </w:p>
          <w:p w:rsidR="00985495" w:rsidRDefault="00985495" w:rsidP="00985495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En 2011 (superficie en Ha)</w:t>
            </w:r>
          </w:p>
          <w:p w:rsidR="00F60175" w:rsidRDefault="001102DA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 w:bidi="ar-SA"/>
              </w:rPr>
              <w:drawing>
                <wp:inline distT="0" distB="0" distL="0" distR="0" wp14:anchorId="043D7F55" wp14:editId="464A9501">
                  <wp:extent cx="5659200" cy="2160000"/>
                  <wp:effectExtent l="0" t="0" r="0" b="0"/>
                  <wp:docPr id="5" name="Image 5" descr="D:\2019_OCS_BFC\Indicateurs\58_2017_2011_20p_pour_graphes\BFC_2_2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9_OCS_BFC\Indicateurs\58_2017_2011_20p_pour_graphes\BFC_2_20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2" b="11261"/>
                          <a:stretch/>
                        </pic:blipFill>
                        <pic:spPr bwMode="auto">
                          <a:xfrm>
                            <a:off x="0" y="0"/>
                            <a:ext cx="5659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465E" w:rsidRDefault="00985495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En 2017 </w:t>
            </w:r>
            <w:r>
              <w:rPr>
                <w:color w:val="000000" w:themeColor="text1"/>
                <w:sz w:val="32"/>
                <w:szCs w:val="32"/>
              </w:rPr>
              <w:t>(superficie en Ha)</w:t>
            </w:r>
          </w:p>
          <w:p w:rsidR="00985495" w:rsidRPr="0041465E" w:rsidRDefault="001102DA" w:rsidP="001102DA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5626800" cy="2131200"/>
                  <wp:effectExtent l="0" t="0" r="0" b="2540"/>
                  <wp:docPr id="7" name="Image 7" descr="D:\2019_OCS_BFC\Indicateurs\58_2017_2011_20p_pour_graphes\BFC_2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9_OCS_BFC\Indicateurs\58_2017_2011_20p_pour_graphes\BFC_2_20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24" b="11111"/>
                          <a:stretch/>
                        </pic:blipFill>
                        <pic:spPr bwMode="auto">
                          <a:xfrm>
                            <a:off x="0" y="0"/>
                            <a:ext cx="5626800" cy="21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57C" w:rsidRDefault="0062457C" w:rsidP="0041465E"/>
    <w:sectPr w:rsidR="0062457C" w:rsidSect="002951E2">
      <w:headerReference w:type="default" r:id="rId11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B9" w:rsidRDefault="00673BB9" w:rsidP="0062457C">
      <w:pPr>
        <w:spacing w:after="0" w:line="240" w:lineRule="auto"/>
      </w:pPr>
      <w:r>
        <w:separator/>
      </w:r>
    </w:p>
  </w:endnote>
  <w:endnote w:type="continuationSeparator" w:id="0">
    <w:p w:rsidR="00673BB9" w:rsidRDefault="00673BB9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B9" w:rsidRDefault="00673BB9" w:rsidP="0062457C">
      <w:pPr>
        <w:spacing w:after="0" w:line="240" w:lineRule="auto"/>
      </w:pPr>
      <w:r>
        <w:separator/>
      </w:r>
    </w:p>
  </w:footnote>
  <w:footnote w:type="continuationSeparator" w:id="0">
    <w:p w:rsidR="00673BB9" w:rsidRDefault="00673BB9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6A1C52">
                            <w:rPr>
                              <w:iCs/>
                              <w:color w:val="000000" w:themeColor="text1"/>
                            </w:rPr>
                            <w:t>02</w:t>
                          </w:r>
                        </w:p>
                        <w:p w:rsidR="0062457C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802741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802741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20/01/2021</w:t>
                          </w:r>
                        </w:p>
                        <w:p w:rsidR="00802741" w:rsidRPr="00D22C3F" w:rsidRDefault="00802741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6A1C52">
                      <w:rPr>
                        <w:iCs/>
                        <w:color w:val="000000" w:themeColor="text1"/>
                      </w:rPr>
                      <w:t>02</w:t>
                    </w:r>
                  </w:p>
                  <w:p w:rsidR="0062457C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802741">
                      <w:rPr>
                        <w:i/>
                        <w:iCs/>
                        <w:color w:val="808080" w:themeColor="background1" w:themeShade="80"/>
                      </w:rPr>
                      <w:t>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802741">
                      <w:rPr>
                        <w:i/>
                        <w:iCs/>
                        <w:color w:val="808080" w:themeColor="background1" w:themeShade="80"/>
                      </w:rPr>
                      <w:t>20/01/2021</w:t>
                    </w:r>
                  </w:p>
                  <w:p w:rsidR="00802741" w:rsidRPr="00D22C3F" w:rsidRDefault="00802741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5B046DD"/>
    <w:multiLevelType w:val="hybridMultilevel"/>
    <w:tmpl w:val="BCCC7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02DA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085D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37AAE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BB9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1C5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06E3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A5D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2741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5495"/>
    <w:rsid w:val="0098650E"/>
    <w:rsid w:val="00986564"/>
    <w:rsid w:val="0098662D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AB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37115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42E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195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918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20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3E3C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6FF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0B2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D61A0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371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1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115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115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371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1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115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115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AD99-CEB2-437D-A32E-5513AEEE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14</cp:revision>
  <dcterms:created xsi:type="dcterms:W3CDTF">2020-08-07T12:06:00Z</dcterms:created>
  <dcterms:modified xsi:type="dcterms:W3CDTF">2021-01-20T09:53:00Z</dcterms:modified>
</cp:coreProperties>
</file>